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17" w:rsidRDefault="00A35817" w:rsidP="00A35817">
      <w:pPr>
        <w:jc w:val="center"/>
        <w:rPr>
          <w:b/>
          <w:bCs/>
          <w:szCs w:val="28"/>
        </w:rPr>
      </w:pPr>
      <w:r w:rsidRPr="00A170BB">
        <w:rPr>
          <w:b/>
          <w:bCs/>
          <w:szCs w:val="28"/>
        </w:rPr>
        <w:t>Моделирование характеристик диагностических средств для оценки информационных компетенций студентов</w:t>
      </w:r>
    </w:p>
    <w:p w:rsidR="00A35817" w:rsidRPr="008032FB" w:rsidRDefault="00A35817" w:rsidP="00A35817">
      <w:pPr>
        <w:pStyle w:val="1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vertAlign w:val="superscript"/>
        </w:rPr>
      </w:pPr>
      <w:r w:rsidRPr="008032FB">
        <w:rPr>
          <w:rFonts w:ascii="Times New Roman" w:hAnsi="Times New Roman" w:cs="Times New Roman"/>
          <w:b w:val="0"/>
          <w:bCs w:val="0"/>
          <w:i/>
          <w:iCs/>
          <w:color w:val="auto"/>
        </w:rPr>
        <w:t>И.Н. Елисеев</w:t>
      </w:r>
      <w:r w:rsidR="0088565A">
        <w:rPr>
          <w:rFonts w:ascii="Times New Roman" w:hAnsi="Times New Roman" w:cs="Times New Roman"/>
          <w:b w:val="0"/>
          <w:bCs w:val="0"/>
          <w:i/>
          <w:iCs/>
          <w:color w:val="auto"/>
          <w:vertAlign w:val="superscript"/>
        </w:rPr>
        <w:t>1</w:t>
      </w:r>
      <w:r w:rsidRPr="008032FB">
        <w:rPr>
          <w:rFonts w:ascii="Times New Roman" w:hAnsi="Times New Roman" w:cs="Times New Roman"/>
          <w:b w:val="0"/>
          <w:bCs w:val="0"/>
          <w:i/>
          <w:iCs/>
          <w:color w:val="auto"/>
        </w:rPr>
        <w:t>,  И.И. Елисеев</w:t>
      </w:r>
      <w:r w:rsidRPr="008032FB">
        <w:rPr>
          <w:rFonts w:ascii="Times New Roman" w:hAnsi="Times New Roman" w:cs="Times New Roman"/>
          <w:b w:val="0"/>
          <w:bCs w:val="0"/>
          <w:i/>
          <w:iCs/>
          <w:color w:val="auto"/>
          <w:vertAlign w:val="superscript"/>
        </w:rPr>
        <w:t>1</w:t>
      </w:r>
      <w:r w:rsidRPr="008032FB">
        <w:rPr>
          <w:rFonts w:ascii="Times New Roman" w:hAnsi="Times New Roman" w:cs="Times New Roman"/>
          <w:b w:val="0"/>
          <w:bCs w:val="0"/>
          <w:i/>
          <w:iCs/>
          <w:color w:val="auto"/>
        </w:rPr>
        <w:t>, Т.Н. Ларина</w:t>
      </w:r>
      <w:r w:rsidRPr="008032FB">
        <w:rPr>
          <w:rFonts w:ascii="Times New Roman" w:hAnsi="Times New Roman" w:cs="Times New Roman"/>
          <w:b w:val="0"/>
          <w:bCs w:val="0"/>
          <w:i/>
          <w:iCs/>
          <w:color w:val="auto"/>
          <w:vertAlign w:val="superscript"/>
        </w:rPr>
        <w:t>2</w:t>
      </w:r>
      <w:r w:rsidRPr="008032FB">
        <w:rPr>
          <w:rFonts w:ascii="Times New Roman" w:hAnsi="Times New Roman" w:cs="Times New Roman"/>
          <w:b w:val="0"/>
          <w:bCs w:val="0"/>
          <w:i/>
          <w:iCs/>
          <w:color w:val="auto"/>
        </w:rPr>
        <w:t>, Н.В. Кривошеев</w:t>
      </w:r>
      <w:r w:rsidRPr="008032FB">
        <w:rPr>
          <w:rFonts w:ascii="Times New Roman" w:hAnsi="Times New Roman" w:cs="Times New Roman"/>
          <w:b w:val="0"/>
          <w:bCs w:val="0"/>
          <w:i/>
          <w:iCs/>
          <w:color w:val="auto"/>
          <w:vertAlign w:val="superscript"/>
        </w:rPr>
        <w:t>2</w:t>
      </w:r>
    </w:p>
    <w:p w:rsidR="0088565A" w:rsidRDefault="008032FB" w:rsidP="00A3581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</w:rPr>
      </w:pPr>
      <w:r w:rsidRPr="008032FB">
        <w:rPr>
          <w:bCs/>
          <w:i/>
          <w:iCs/>
          <w:vertAlign w:val="superscript"/>
        </w:rPr>
        <w:t>1</w:t>
      </w:r>
      <w:r w:rsidRPr="008032FB">
        <w:rPr>
          <w:bCs/>
          <w:i/>
          <w:iCs/>
        </w:rPr>
        <w:t xml:space="preserve">Институт сферы обслуживания и предпринимательства </w:t>
      </w:r>
    </w:p>
    <w:p w:rsidR="00A35817" w:rsidRPr="008032FB" w:rsidRDefault="008032FB" w:rsidP="0088565A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032FB">
        <w:rPr>
          <w:bCs/>
          <w:i/>
          <w:iCs/>
        </w:rPr>
        <w:t>(филиал) Донского</w:t>
      </w:r>
      <w:r w:rsidR="0088565A">
        <w:rPr>
          <w:bCs/>
          <w:i/>
          <w:iCs/>
        </w:rPr>
        <w:t xml:space="preserve"> </w:t>
      </w:r>
      <w:r w:rsidRPr="008032FB">
        <w:rPr>
          <w:bCs/>
          <w:i/>
          <w:iCs/>
        </w:rPr>
        <w:t>государственного технического университета</w:t>
      </w:r>
    </w:p>
    <w:p w:rsidR="00A35817" w:rsidRDefault="00A35817" w:rsidP="00A35817">
      <w:pPr>
        <w:pStyle w:val="a7"/>
        <w:spacing w:line="240" w:lineRule="auto"/>
        <w:jc w:val="center"/>
        <w:rPr>
          <w:i/>
          <w:sz w:val="24"/>
        </w:rPr>
      </w:pPr>
      <w:r w:rsidRPr="0097130E">
        <w:rPr>
          <w:i/>
          <w:sz w:val="24"/>
          <w:vertAlign w:val="superscript"/>
        </w:rPr>
        <w:t>2</w:t>
      </w:r>
      <w:r w:rsidRPr="0097130E">
        <w:rPr>
          <w:i/>
          <w:sz w:val="24"/>
        </w:rPr>
        <w:t>Ростовский государственный строительный университет</w:t>
      </w:r>
    </w:p>
    <w:p w:rsidR="008032FB" w:rsidRPr="008032FB" w:rsidRDefault="008032FB" w:rsidP="00A35817">
      <w:pPr>
        <w:pStyle w:val="a7"/>
        <w:spacing w:line="240" w:lineRule="auto"/>
        <w:jc w:val="center"/>
        <w:rPr>
          <w:i/>
          <w:szCs w:val="28"/>
        </w:rPr>
      </w:pPr>
    </w:p>
    <w:p w:rsidR="00A35817" w:rsidRPr="008032FB" w:rsidRDefault="00A35817" w:rsidP="008032FB">
      <w:pPr>
        <w:spacing w:line="240" w:lineRule="auto"/>
        <w:rPr>
          <w:sz w:val="24"/>
        </w:rPr>
      </w:pPr>
      <w:r w:rsidRPr="008032FB">
        <w:rPr>
          <w:b/>
          <w:sz w:val="24"/>
        </w:rPr>
        <w:t>Аннотация:</w:t>
      </w:r>
      <w:r w:rsidR="008032FB">
        <w:rPr>
          <w:b/>
          <w:sz w:val="24"/>
        </w:rPr>
        <w:t xml:space="preserve"> </w:t>
      </w:r>
      <w:r w:rsidR="008032FB" w:rsidRPr="00A170BB">
        <w:rPr>
          <w:sz w:val="24"/>
        </w:rPr>
        <w:t>В статье обосновывается возможность использования политомических моделей для оценки личностных качеств, влияющих на информационную компетенцию студентов, по входным данным, полученным с помощью анкеты  «Информационная компетентность». Рассчитаны характеристики участников анкетирования и индикаторов анкеты, оценена их пригодность для оценки уровня сформированности информационной компетенции. Даны рекомендации по доработке анкеты.</w:t>
      </w:r>
      <w:r w:rsidR="008032FB">
        <w:rPr>
          <w:sz w:val="24"/>
        </w:rPr>
        <w:t xml:space="preserve"> </w:t>
      </w:r>
    </w:p>
    <w:p w:rsidR="00A35817" w:rsidRPr="000B736B" w:rsidRDefault="00A35817" w:rsidP="00A35817">
      <w:pPr>
        <w:pStyle w:val="a7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8032FB" w:rsidRPr="00A170BB">
        <w:rPr>
          <w:sz w:val="24"/>
        </w:rPr>
        <w:t>уровень подготовки студента, латентные переменные, политомическая  модель, индикатор, диагностический тест, информационная компетенция</w:t>
      </w:r>
      <w:r w:rsidR="008032FB" w:rsidRPr="000B736B">
        <w:rPr>
          <w:sz w:val="24"/>
        </w:rPr>
        <w:t xml:space="preserve"> </w:t>
      </w:r>
    </w:p>
    <w:p w:rsidR="0088565A" w:rsidRDefault="0088565A" w:rsidP="008032FB">
      <w:pPr>
        <w:ind w:firstLine="708"/>
        <w:rPr>
          <w:szCs w:val="28"/>
        </w:rPr>
      </w:pP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 xml:space="preserve">Введение в профессиональное образование компетентностного подхода к оценке уровня подготовки обучаемых привело к возникновению противоречия между требованием формализованной оценки уровня сформированности компетенции и отсутствием необходимых для этого диагностических средств и методического обеспечения. Разрешение противоречия осложняется тем, что оцениваемый параметр является скрытым (латентным) и непосредственному количественному измерению с помощью физических измерительных средств не поддаётся [1-3]. В связи с этим традиционные средства и способы контроля уровня подготовки обучаемых становятся неэффективными. По этой же причине для формализованной оценки уровня сформированности компетенций не могут быть использованы методы имитационного моделирования процессов, применяемые в гуманитарной сфере [4, 5].  </w:t>
      </w: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 xml:space="preserve">Как показывает зарубежный и отечественный опыт [6-12], для измерения латентных параметров исследуемых объектов наиболее перспективным является применение теории латентных переменных, </w:t>
      </w:r>
      <w:r w:rsidRPr="00A170BB">
        <w:rPr>
          <w:szCs w:val="28"/>
        </w:rPr>
        <w:lastRenderedPageBreak/>
        <w:t xml:space="preserve">использующей вероятностные модели Раша. Оценивание с помощью  этой теории  уровня сформированности компетенций обучаемых позволяет в полной мере учесть вероятностный характер найденных оценок, а также получить информацию о качестве диагностических средств. Важным достоинством методов теории латентных переменных является также независимость вычисляемых значений латентного параметра «уровень подготовки» студентов </w:t>
      </w:r>
      <w:r w:rsidRPr="00A170BB">
        <w:rPr>
          <w:position w:val="-12"/>
          <w:szCs w:val="28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17.8pt" o:ole="">
            <v:imagedata r:id="rId7" o:title=""/>
          </v:shape>
          <o:OLEObject Type="Embed" ProgID="Equation.3" ShapeID="_x0000_i1025" DrawAspect="Content" ObjectID="_1477757694" r:id="rId8"/>
        </w:object>
      </w:r>
      <w:r w:rsidRPr="00A170BB">
        <w:rPr>
          <w:szCs w:val="28"/>
        </w:rPr>
        <w:t xml:space="preserve"> от «уровня трудности» заданий </w:t>
      </w:r>
      <w:r w:rsidRPr="00A170BB">
        <w:rPr>
          <w:position w:val="-14"/>
          <w:szCs w:val="28"/>
        </w:rPr>
        <w:object w:dxaOrig="320" w:dyaOrig="400">
          <v:shape id="_x0000_i1026" type="#_x0000_t75" style="width:16.1pt;height:20.35pt" o:ole="">
            <v:imagedata r:id="rId9" o:title=""/>
          </v:shape>
          <o:OLEObject Type="Embed" ProgID="Equation.3" ShapeID="_x0000_i1026" DrawAspect="Content" ObjectID="_1477757695" r:id="rId10"/>
        </w:object>
      </w:r>
      <w:r w:rsidRPr="00A170BB">
        <w:rPr>
          <w:szCs w:val="28"/>
        </w:rPr>
        <w:t xml:space="preserve"> диагностических средств, что позволяет обеспечить объективность получаемых данных [3, 9]. Всё это позволяет считать подход, использующий модели Раша и методы теории латентных переменных, перспективным для оценки компетенций. </w:t>
      </w: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>В качестве диагностических средств, обеспечивающих получение входных данных об уровне сформированности компетенции,  используется набор индикаторных переменных или дескрипторов, раскрывающих содержание компетенции. В частном случае для оценки признаков наличия личностно ориентированных общекультурных компетенций можно использовать диагностические тесты, опросники и анкеты, которые нашли применение в психологии и социологии для исследования личностных качеств студентов [3, 10, 11].</w:t>
      </w: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 xml:space="preserve">Целью статьи является исследование уровня сформированности информационной компетенции студентов на основе политомической модели Раша и анкеты «Информационная компетентность», оценка качества анкеты. </w:t>
      </w:r>
    </w:p>
    <w:p w:rsidR="008032FB" w:rsidRPr="00A170BB" w:rsidRDefault="008032FB" w:rsidP="008032FB">
      <w:pPr>
        <w:ind w:firstLine="709"/>
        <w:rPr>
          <w:szCs w:val="28"/>
        </w:rPr>
      </w:pPr>
      <w:r w:rsidRPr="00A170BB">
        <w:rPr>
          <w:szCs w:val="28"/>
        </w:rPr>
        <w:t xml:space="preserve">Для исследования признаков сформированности информационных компетенций  была использована анкета, разработанная в Псковском педагогическом университете [13]. Она состоит из 25 индикаторов, которые распределены по четырём смысловым блокам (октантам). Каждая индикаторная переменная анкеты варьируется на  пяти уровнях: 0, 1, 2, 3 и 4. </w:t>
      </w:r>
      <w:r w:rsidRPr="00A170BB">
        <w:rPr>
          <w:szCs w:val="28"/>
        </w:rPr>
        <w:lastRenderedPageBreak/>
        <w:t>Цифрой 4 оценивается   вариант ответа «да», цифрой 3 –  вариант ответа «скорее «да», чем «нет»», цифрой 2–  вариант ответа «затрудняюсь ответить»,  цифрой 1 –  вариант ответа «скорее «нет», чем «да»», цифрой 0 – вариант ответа «нет». Анкета содержит индикаторы только прямого направления действия. Для получения входных данных (матриц ответов) использовался метод самооценки.</w:t>
      </w:r>
    </w:p>
    <w:p w:rsidR="008032FB" w:rsidRPr="00A170BB" w:rsidRDefault="008032FB" w:rsidP="008032FB">
      <w:pPr>
        <w:ind w:firstLine="709"/>
        <w:rPr>
          <w:szCs w:val="28"/>
        </w:rPr>
      </w:pPr>
      <w:r w:rsidRPr="00A170BB">
        <w:rPr>
          <w:szCs w:val="28"/>
        </w:rPr>
        <w:t xml:space="preserve">При обработке данных анкетирования баллы, полученные за выполнение каждого индикатора, суммируются. Чем больше индивидуальный балл респондента, тем выше уровень сформированности его информационной компетенции. Максимальное значение индивидуального балла </w:t>
      </w:r>
      <w:r w:rsidRPr="00A170BB">
        <w:rPr>
          <w:position w:val="-12"/>
          <w:sz w:val="24"/>
        </w:rPr>
        <w:object w:dxaOrig="279" w:dyaOrig="380">
          <v:shape id="_x0000_i1027" type="#_x0000_t75" style="width:13.55pt;height:18.65pt" o:ole="">
            <v:imagedata r:id="rId11" o:title=""/>
          </v:shape>
          <o:OLEObject Type="Embed" ProgID="Equation.3" ShapeID="_x0000_i1027" DrawAspect="Content" ObjectID="_1477757696" r:id="rId12"/>
        </w:object>
      </w:r>
      <w:r w:rsidRPr="00A170BB">
        <w:rPr>
          <w:sz w:val="24"/>
        </w:rPr>
        <w:t xml:space="preserve"> </w:t>
      </w:r>
      <w:r w:rsidRPr="00A170BB">
        <w:rPr>
          <w:szCs w:val="28"/>
        </w:rPr>
        <w:t xml:space="preserve">составляет 100.  Кроме того, по каждому октанту рассчитывается индивидуальный балл </w:t>
      </w:r>
      <w:r w:rsidRPr="00A170BB">
        <w:rPr>
          <w:position w:val="-12"/>
          <w:sz w:val="24"/>
        </w:rPr>
        <w:object w:dxaOrig="380" w:dyaOrig="380">
          <v:shape id="_x0000_i1028" type="#_x0000_t75" style="width:18.65pt;height:18.65pt" o:ole="">
            <v:imagedata r:id="rId13" o:title=""/>
          </v:shape>
          <o:OLEObject Type="Embed" ProgID="Equation.3" ShapeID="_x0000_i1028" DrawAspect="Content" ObjectID="_1477757697" r:id="rId14"/>
        </w:object>
      </w:r>
      <w:r w:rsidRPr="00A170BB">
        <w:rPr>
          <w:szCs w:val="28"/>
        </w:rPr>
        <w:t>, полученный при ответе на его индикаторы каждым участником анкетирования. На основании полученной информации делается вывод об уровне сформированности информационной компетенции каждого из участников анкетирования, а также всех респондентов в целом. Содержание анкеты представлено в таблице 1.</w:t>
      </w:r>
    </w:p>
    <w:p w:rsidR="008032FB" w:rsidRPr="00A170BB" w:rsidRDefault="008032FB" w:rsidP="008032FB">
      <w:pPr>
        <w:rPr>
          <w:szCs w:val="28"/>
        </w:rPr>
      </w:pPr>
      <w:r w:rsidRPr="00A170BB">
        <w:rPr>
          <w:szCs w:val="28"/>
        </w:rPr>
        <w:t xml:space="preserve">                                                                                                                </w:t>
      </w:r>
    </w:p>
    <w:p w:rsidR="0088565A" w:rsidRDefault="008032FB" w:rsidP="008032FB">
      <w:pPr>
        <w:rPr>
          <w:szCs w:val="28"/>
        </w:rPr>
      </w:pPr>
      <w:r w:rsidRPr="00A170BB">
        <w:rPr>
          <w:szCs w:val="28"/>
        </w:rPr>
        <w:t xml:space="preserve">                                                                                                               </w:t>
      </w:r>
    </w:p>
    <w:p w:rsidR="008032FB" w:rsidRPr="00A170BB" w:rsidRDefault="0088565A" w:rsidP="008032F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8032FB" w:rsidRPr="00A170BB">
        <w:rPr>
          <w:szCs w:val="28"/>
        </w:rPr>
        <w:t xml:space="preserve"> Таблица </w:t>
      </w:r>
      <w:r w:rsidR="008032FB">
        <w:rPr>
          <w:szCs w:val="28"/>
        </w:rPr>
        <w:t>№</w:t>
      </w:r>
      <w:r w:rsidR="008032FB" w:rsidRPr="00A170BB">
        <w:rPr>
          <w:szCs w:val="28"/>
        </w:rPr>
        <w:t>1</w:t>
      </w:r>
    </w:p>
    <w:p w:rsidR="008032FB" w:rsidRPr="00A170BB" w:rsidRDefault="008032FB" w:rsidP="008032FB">
      <w:pPr>
        <w:jc w:val="center"/>
        <w:rPr>
          <w:szCs w:val="28"/>
        </w:rPr>
      </w:pPr>
      <w:r w:rsidRPr="00A170BB">
        <w:rPr>
          <w:szCs w:val="28"/>
        </w:rPr>
        <w:t>Анкета «Информационная компетентность»</w:t>
      </w:r>
    </w:p>
    <w:p w:rsidR="008032FB" w:rsidRPr="00A170BB" w:rsidRDefault="008032FB" w:rsidP="008032FB">
      <w:pPr>
        <w:rPr>
          <w:szCs w:val="28"/>
        </w:rPr>
      </w:pPr>
      <w:r w:rsidRPr="00A170BB">
        <w:rPr>
          <w:szCs w:val="28"/>
        </w:rPr>
        <w:tab/>
      </w:r>
    </w:p>
    <w:p w:rsidR="008032FB" w:rsidRPr="00A170BB" w:rsidRDefault="008032FB" w:rsidP="008032FB">
      <w:pPr>
        <w:rPr>
          <w:szCs w:val="28"/>
        </w:rPr>
      </w:pPr>
      <w:r w:rsidRPr="00A170BB">
        <w:rPr>
          <w:szCs w:val="28"/>
        </w:rPr>
        <w:t xml:space="preserve">Инструкция: </w:t>
      </w:r>
      <w:r w:rsidRPr="00A170BB">
        <w:rPr>
          <w:i/>
          <w:iCs/>
          <w:szCs w:val="28"/>
        </w:rPr>
        <w:t xml:space="preserve">Внимательно прочтите каждое утверждение (индикатор) и, оценив его применительно к себе, в бланке для ответов проставьте напротив номера соответствующего индикатора номер выбранного варианта ответа:  1) -  нет; 2)- скорее нет, чем да; 3) – затрудняюсь ответить 4)-  скорее да, чем нет; </w:t>
      </w:r>
      <w:r w:rsidRPr="00A170BB">
        <w:rPr>
          <w:i/>
          <w:iCs/>
          <w:szCs w:val="28"/>
        </w:rPr>
        <w:tab/>
        <w:t>5) да.</w:t>
      </w:r>
    </w:p>
    <w:p w:rsidR="008032FB" w:rsidRDefault="008032FB" w:rsidP="008032FB">
      <w:pPr>
        <w:rPr>
          <w:szCs w:val="28"/>
        </w:rPr>
      </w:pPr>
    </w:p>
    <w:p w:rsidR="0088565A" w:rsidRPr="00A170BB" w:rsidRDefault="0088565A" w:rsidP="008032FB">
      <w:pPr>
        <w:rPr>
          <w:szCs w:val="28"/>
        </w:rPr>
      </w:pPr>
    </w:p>
    <w:tbl>
      <w:tblPr>
        <w:tblW w:w="946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59"/>
        <w:gridCol w:w="558"/>
        <w:gridCol w:w="7452"/>
      </w:tblGrid>
      <w:tr w:rsidR="008032FB" w:rsidRPr="00A170BB" w:rsidTr="001E0AD1">
        <w:trPr>
          <w:cantSplit/>
          <w:trHeight w:val="50"/>
          <w:jc w:val="center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ind w:left="2009"/>
              <w:rPr>
                <w:b/>
                <w:bCs/>
                <w:szCs w:val="28"/>
              </w:rPr>
            </w:pPr>
            <w:r w:rsidRPr="00A170BB">
              <w:rPr>
                <w:b/>
                <w:bCs/>
                <w:szCs w:val="28"/>
              </w:rPr>
              <w:t>Умение работать с источниками информации</w:t>
            </w:r>
          </w:p>
        </w:tc>
      </w:tr>
      <w:tr w:rsidR="008032FB" w:rsidRPr="00A170BB" w:rsidTr="001E0AD1">
        <w:trPr>
          <w:cantSplit/>
          <w:trHeight w:val="480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Имею опыт работы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 учебной литературой</w:t>
            </w:r>
          </w:p>
        </w:tc>
      </w:tr>
      <w:tr w:rsidR="008032FB" w:rsidRPr="00A170BB" w:rsidTr="001E0AD1">
        <w:trPr>
          <w:cantSplit/>
          <w:trHeight w:val="480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 научной литературой</w:t>
            </w:r>
          </w:p>
        </w:tc>
      </w:tr>
      <w:tr w:rsidR="008032FB" w:rsidRPr="00A170BB" w:rsidTr="001E0AD1">
        <w:trPr>
          <w:cantSplit/>
          <w:trHeight w:val="480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со справочной литературой, словарями</w:t>
            </w:r>
          </w:p>
        </w:tc>
      </w:tr>
      <w:tr w:rsidR="008032FB" w:rsidRPr="00A170BB" w:rsidTr="001E0AD1">
        <w:trPr>
          <w:cantSplit/>
          <w:trHeight w:val="480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 Интернетом</w:t>
            </w:r>
          </w:p>
        </w:tc>
      </w:tr>
      <w:tr w:rsidR="008032FB" w:rsidRPr="00A170BB" w:rsidTr="001E0AD1">
        <w:trPr>
          <w:cantSplit/>
          <w:trHeight w:val="480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со средствами массовой информации</w:t>
            </w:r>
          </w:p>
        </w:tc>
      </w:tr>
      <w:tr w:rsidR="008032FB" w:rsidRPr="00A170BB" w:rsidTr="001E0AD1">
        <w:trPr>
          <w:cantSplit/>
          <w:trHeight w:val="76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со специалистами</w:t>
            </w:r>
          </w:p>
        </w:tc>
      </w:tr>
      <w:tr w:rsidR="008032FB" w:rsidRPr="00A170BB" w:rsidTr="001E0AD1">
        <w:trPr>
          <w:cantSplit/>
          <w:trHeight w:val="224"/>
          <w:jc w:val="center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b/>
                <w:bCs/>
                <w:szCs w:val="28"/>
              </w:rPr>
            </w:pPr>
            <w:r w:rsidRPr="00A170BB">
              <w:rPr>
                <w:b/>
                <w:bCs/>
                <w:szCs w:val="28"/>
              </w:rPr>
              <w:t>Готовность подготовить доклад, реферат по заданной теме</w:t>
            </w:r>
          </w:p>
        </w:tc>
      </w:tr>
      <w:tr w:rsidR="008032FB" w:rsidRPr="00A170BB" w:rsidTr="001E0AD1">
        <w:trPr>
          <w:cantSplit/>
          <w:trHeight w:val="555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 xml:space="preserve">Готов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выбрать источники информации, соответствующие поставленной задаче</w:t>
            </w:r>
          </w:p>
        </w:tc>
      </w:tr>
      <w:tr w:rsidR="008032FB" w:rsidRPr="00A170BB" w:rsidTr="001E0AD1">
        <w:trPr>
          <w:cantSplit/>
          <w:trHeight w:val="555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8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отобрать информацию с учетом поставленной задачи, предполагаемых слушателей и т.д.</w:t>
            </w:r>
          </w:p>
        </w:tc>
      </w:tr>
      <w:tr w:rsidR="008032FB" w:rsidRPr="00A170BB" w:rsidTr="001E0AD1">
        <w:trPr>
          <w:cantSplit/>
          <w:trHeight w:val="555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9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сопоставить информацию из различных источников для определения собственной позиции</w:t>
            </w:r>
          </w:p>
        </w:tc>
      </w:tr>
      <w:tr w:rsidR="008032FB" w:rsidRPr="00A170BB" w:rsidTr="001E0AD1">
        <w:trPr>
          <w:cantSplit/>
          <w:trHeight w:val="555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10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составить план, структурировать содержание</w:t>
            </w:r>
          </w:p>
        </w:tc>
      </w:tr>
      <w:tr w:rsidR="008032FB" w:rsidRPr="00A170BB" w:rsidTr="001E0AD1">
        <w:trPr>
          <w:cantSplit/>
          <w:trHeight w:val="555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11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логично и аргументировано излагать информацию</w:t>
            </w:r>
          </w:p>
        </w:tc>
      </w:tr>
      <w:tr w:rsidR="008032FB" w:rsidRPr="00A170BB" w:rsidTr="001E0AD1">
        <w:trPr>
          <w:cantSplit/>
          <w:trHeight w:val="555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12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 xml:space="preserve">составить список использованных источников по библиографическим правилам </w:t>
            </w:r>
          </w:p>
        </w:tc>
      </w:tr>
      <w:tr w:rsidR="008032FB" w:rsidRPr="00A170BB" w:rsidTr="001E0AD1">
        <w:trPr>
          <w:cantSplit/>
          <w:trHeight w:val="555"/>
          <w:jc w:val="center"/>
        </w:trPr>
        <w:tc>
          <w:tcPr>
            <w:tcW w:w="9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ind w:left="2009"/>
              <w:jc w:val="center"/>
              <w:rPr>
                <w:b/>
                <w:bCs/>
                <w:szCs w:val="28"/>
              </w:rPr>
            </w:pPr>
            <w:r w:rsidRPr="00A170BB">
              <w:rPr>
                <w:b/>
                <w:bCs/>
                <w:szCs w:val="28"/>
              </w:rPr>
              <w:t>Владение компьютером</w:t>
            </w:r>
          </w:p>
        </w:tc>
      </w:tr>
      <w:tr w:rsidR="008032FB" w:rsidRPr="00A170BB" w:rsidTr="001E0AD1">
        <w:trPr>
          <w:cantSplit/>
          <w:trHeight w:val="360"/>
          <w:jc w:val="center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Владею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13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текстовыми редакторами</w:t>
            </w:r>
          </w:p>
        </w:tc>
      </w:tr>
      <w:tr w:rsidR="008032FB" w:rsidRPr="00A170BB" w:rsidTr="001E0AD1">
        <w:trPr>
          <w:cantSplit/>
          <w:trHeight w:val="36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14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графическими редакторами</w:t>
            </w:r>
          </w:p>
        </w:tc>
      </w:tr>
      <w:tr w:rsidR="008032FB" w:rsidRPr="00A170BB" w:rsidTr="001E0AD1">
        <w:trPr>
          <w:cantSplit/>
          <w:trHeight w:val="36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15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редактором презентаций (Power Point)</w:t>
            </w:r>
          </w:p>
        </w:tc>
      </w:tr>
      <w:tr w:rsidR="008032FB" w:rsidRPr="00A170BB" w:rsidTr="001E0AD1">
        <w:trPr>
          <w:cantSplit/>
          <w:trHeight w:val="36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16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электронной почтой</w:t>
            </w:r>
          </w:p>
        </w:tc>
      </w:tr>
      <w:tr w:rsidR="008032FB" w:rsidRPr="00A170BB" w:rsidTr="001E0AD1">
        <w:trPr>
          <w:cantSplit/>
          <w:trHeight w:val="36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17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Интернетом</w:t>
            </w:r>
          </w:p>
        </w:tc>
      </w:tr>
      <w:tr w:rsidR="008032FB" w:rsidRPr="00A170BB" w:rsidTr="001E0AD1">
        <w:trPr>
          <w:cantSplit/>
          <w:trHeight w:val="360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18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мультимедийными технологиями</w:t>
            </w:r>
          </w:p>
        </w:tc>
      </w:tr>
      <w:tr w:rsidR="008032FB" w:rsidRPr="00A170BB" w:rsidTr="001E0AD1">
        <w:trPr>
          <w:cantSplit/>
          <w:trHeight w:val="360"/>
          <w:jc w:val="center"/>
        </w:trPr>
        <w:tc>
          <w:tcPr>
            <w:tcW w:w="9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ind w:left="1469"/>
              <w:rPr>
                <w:szCs w:val="28"/>
              </w:rPr>
            </w:pPr>
            <w:r w:rsidRPr="00A170BB">
              <w:rPr>
                <w:szCs w:val="28"/>
              </w:rPr>
              <w:lastRenderedPageBreak/>
              <w:t xml:space="preserve">  19   Умею оценить степень достоверности источника информации</w:t>
            </w:r>
          </w:p>
        </w:tc>
      </w:tr>
    </w:tbl>
    <w:p w:rsidR="008032FB" w:rsidRPr="00A170BB" w:rsidRDefault="008032FB" w:rsidP="008032FB">
      <w:pPr>
        <w:rPr>
          <w:szCs w:val="28"/>
        </w:rPr>
      </w:pPr>
    </w:p>
    <w:tbl>
      <w:tblPr>
        <w:tblW w:w="946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59"/>
        <w:gridCol w:w="558"/>
        <w:gridCol w:w="7452"/>
      </w:tblGrid>
      <w:tr w:rsidR="008032FB" w:rsidRPr="00A170BB" w:rsidTr="001E0AD1">
        <w:trPr>
          <w:cantSplit/>
          <w:trHeight w:val="450"/>
          <w:jc w:val="center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b/>
                <w:bCs/>
                <w:szCs w:val="28"/>
              </w:rPr>
            </w:pPr>
            <w:r w:rsidRPr="00A170BB">
              <w:rPr>
                <w:b/>
                <w:bCs/>
                <w:szCs w:val="28"/>
              </w:rPr>
              <w:t>Умение использовать различные формы представления информации</w:t>
            </w:r>
          </w:p>
        </w:tc>
      </w:tr>
      <w:tr w:rsidR="008032FB" w:rsidRPr="00A170BB" w:rsidTr="001E0AD1">
        <w:trPr>
          <w:cantSplit/>
          <w:trHeight w:val="450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Умею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20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писать деловые письма</w:t>
            </w:r>
          </w:p>
        </w:tc>
      </w:tr>
      <w:tr w:rsidR="008032FB" w:rsidRPr="00A170BB" w:rsidTr="001E0AD1">
        <w:trPr>
          <w:cantSplit/>
          <w:trHeight w:val="45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21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составлять тезисы</w:t>
            </w:r>
          </w:p>
        </w:tc>
      </w:tr>
      <w:tr w:rsidR="008032FB" w:rsidRPr="00A170BB" w:rsidTr="001E0AD1">
        <w:trPr>
          <w:cantSplit/>
          <w:trHeight w:val="45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22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писать аннотации</w:t>
            </w:r>
          </w:p>
        </w:tc>
      </w:tr>
      <w:tr w:rsidR="008032FB" w:rsidRPr="00A170BB" w:rsidTr="001E0AD1">
        <w:trPr>
          <w:cantSplit/>
          <w:trHeight w:val="45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23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 xml:space="preserve">писать и оформлять отчеты </w:t>
            </w:r>
          </w:p>
        </w:tc>
      </w:tr>
      <w:tr w:rsidR="008032FB" w:rsidRPr="00A170BB" w:rsidTr="001E0AD1">
        <w:trPr>
          <w:cantSplit/>
          <w:trHeight w:val="450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2FB" w:rsidRPr="00A170BB" w:rsidRDefault="008032FB" w:rsidP="001E0AD1">
            <w:pPr>
              <w:ind w:left="113" w:right="113"/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24</w:t>
            </w:r>
          </w:p>
        </w:tc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rPr>
                <w:szCs w:val="28"/>
              </w:rPr>
            </w:pPr>
            <w:r w:rsidRPr="00A170BB">
              <w:rPr>
                <w:szCs w:val="28"/>
              </w:rPr>
              <w:t>подготовить эссе</w:t>
            </w:r>
          </w:p>
        </w:tc>
      </w:tr>
      <w:tr w:rsidR="008032FB" w:rsidRPr="00A170BB" w:rsidTr="001E0AD1">
        <w:trPr>
          <w:cantSplit/>
          <w:trHeight w:val="360"/>
          <w:jc w:val="center"/>
        </w:trPr>
        <w:tc>
          <w:tcPr>
            <w:tcW w:w="9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ind w:left="1469"/>
              <w:rPr>
                <w:szCs w:val="28"/>
              </w:rPr>
            </w:pPr>
            <w:r w:rsidRPr="00A170BB">
              <w:rPr>
                <w:szCs w:val="28"/>
              </w:rPr>
              <w:t xml:space="preserve">  25   Умею пользоваться библиотечными каталогами</w:t>
            </w:r>
          </w:p>
        </w:tc>
      </w:tr>
    </w:tbl>
    <w:p w:rsidR="008032FB" w:rsidRPr="00A170BB" w:rsidRDefault="008032FB" w:rsidP="008032FB">
      <w:pPr>
        <w:ind w:firstLine="708"/>
        <w:rPr>
          <w:szCs w:val="28"/>
        </w:rPr>
      </w:pP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 xml:space="preserve">Для расчёта характеристик анкеты использовалась выборка студентов Южно-Российского государственного университета экономики и сервиса и Ростовского государственного строительного университета. Общий объём выборки составил 452 человека. Результаты анкетирования были представлены одним </w:t>
      </w:r>
      <w:r w:rsidRPr="00A170BB">
        <w:rPr>
          <w:szCs w:val="28"/>
          <w:lang w:val="en-US"/>
        </w:rPr>
        <w:t>prn</w:t>
      </w:r>
      <w:r w:rsidRPr="00A170BB">
        <w:rPr>
          <w:szCs w:val="28"/>
        </w:rPr>
        <w:t xml:space="preserve">-файлом, представляющим собой политомическую  матрицу ответов размером 452×25. В процессе проведения экспертизы качества анкеты и её чистки по методике, описанной в работах [3, 14],  удалялись и участники анкетирования, и индикаторы. Обработка результатов анкетирования производилась с помощью диалоговой системы  </w:t>
      </w:r>
      <w:r w:rsidRPr="00A170BB">
        <w:rPr>
          <w:szCs w:val="28"/>
          <w:lang w:val="en-US"/>
        </w:rPr>
        <w:t>RUM</w:t>
      </w:r>
      <w:r w:rsidRPr="00A170BB">
        <w:rPr>
          <w:szCs w:val="28"/>
        </w:rPr>
        <w:t xml:space="preserve">2030 [15]. Анализ полученных результатов показал, что распределение значений оценок латентных параметров </w:t>
      </w:r>
      <w:r w:rsidRPr="00A170BB">
        <w:rPr>
          <w:position w:val="-12"/>
          <w:szCs w:val="28"/>
        </w:rPr>
        <w:object w:dxaOrig="279" w:dyaOrig="380">
          <v:shape id="_x0000_i1029" type="#_x0000_t75" style="width:14.4pt;height:18.65pt" o:ole="">
            <v:imagedata r:id="rId15" o:title=""/>
          </v:shape>
          <o:OLEObject Type="Embed" ProgID="Equation.3" ShapeID="_x0000_i1029" DrawAspect="Content" ObjectID="_1477757698" r:id="rId16"/>
        </w:object>
      </w:r>
      <w:r w:rsidRPr="00A170BB">
        <w:rPr>
          <w:szCs w:val="28"/>
        </w:rPr>
        <w:t xml:space="preserve"> не противоречит гипотезе о нормальном законе распределения, поэтому выборку можно считать нормативной [3, 16]. На рисунке 4.7 приведены совмещенные гистограммы распределения величин </w:t>
      </w:r>
      <w:r w:rsidRPr="00A170BB">
        <w:rPr>
          <w:position w:val="-12"/>
          <w:szCs w:val="28"/>
        </w:rPr>
        <w:object w:dxaOrig="279" w:dyaOrig="380">
          <v:shape id="_x0000_i1030" type="#_x0000_t75" style="width:14.4pt;height:18.65pt" o:ole="">
            <v:imagedata r:id="rId15" o:title=""/>
          </v:shape>
          <o:OLEObject Type="Embed" ProgID="Equation.3" ShapeID="_x0000_i1030" DrawAspect="Content" ObjectID="_1477757699" r:id="rId17"/>
        </w:object>
      </w:r>
      <w:r w:rsidRPr="00A170BB">
        <w:rPr>
          <w:szCs w:val="28"/>
        </w:rPr>
        <w:t xml:space="preserve"> и </w:t>
      </w:r>
      <w:r w:rsidRPr="00A170BB">
        <w:rPr>
          <w:position w:val="-14"/>
          <w:szCs w:val="28"/>
        </w:rPr>
        <w:object w:dxaOrig="320" w:dyaOrig="400">
          <v:shape id="_x0000_i1031" type="#_x0000_t75" style="width:16.1pt;height:20.35pt" o:ole="">
            <v:imagedata r:id="rId18" o:title=""/>
          </v:shape>
          <o:OLEObject Type="Embed" ProgID="Equation.3" ShapeID="_x0000_i1031" DrawAspect="Content" ObjectID="_1477757700" r:id="rId19"/>
        </w:object>
      </w:r>
      <w:r w:rsidRPr="00A170BB">
        <w:rPr>
          <w:szCs w:val="28"/>
        </w:rPr>
        <w:t xml:space="preserve">, позволяющие судить о валидности используемой анкеты. </w:t>
      </w:r>
    </w:p>
    <w:p w:rsidR="008032FB" w:rsidRPr="00A170BB" w:rsidRDefault="008032FB" w:rsidP="008032FB">
      <w:pPr>
        <w:rPr>
          <w:noProof/>
          <w:sz w:val="16"/>
          <w:szCs w:val="16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776595" cy="2980055"/>
            <wp:effectExtent l="19050" t="0" r="0" b="0"/>
            <wp:docPr id="16" name="Рисунок 3" descr="чищ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ищенна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FB" w:rsidRPr="00A170BB" w:rsidRDefault="008032FB" w:rsidP="008032FB">
      <w:pPr>
        <w:rPr>
          <w:szCs w:val="28"/>
        </w:rPr>
      </w:pPr>
      <w:r w:rsidRPr="00A170BB">
        <w:rPr>
          <w:szCs w:val="28"/>
        </w:rPr>
        <w:t xml:space="preserve">Рис. 1. - Гистограммы распределения значений оценок уровня сформированности информационной компетенции  тестируемых </w:t>
      </w:r>
      <w:r w:rsidRPr="00A170BB">
        <w:rPr>
          <w:position w:val="-12"/>
          <w:szCs w:val="28"/>
        </w:rPr>
        <w:object w:dxaOrig="279" w:dyaOrig="380">
          <v:shape id="_x0000_i1032" type="#_x0000_t75" style="width:14.4pt;height:18.65pt" o:ole="">
            <v:imagedata r:id="rId21" o:title=""/>
          </v:shape>
          <o:OLEObject Type="Embed" ProgID="Equation.3" ShapeID="_x0000_i1032" DrawAspect="Content" ObjectID="_1477757701" r:id="rId22"/>
        </w:object>
      </w:r>
      <w:r w:rsidRPr="00A170BB">
        <w:rPr>
          <w:szCs w:val="28"/>
        </w:rPr>
        <w:t xml:space="preserve"> и трудности индикаторов </w:t>
      </w:r>
      <w:r w:rsidRPr="00A170BB">
        <w:rPr>
          <w:position w:val="-14"/>
          <w:szCs w:val="28"/>
        </w:rPr>
        <w:object w:dxaOrig="320" w:dyaOrig="400">
          <v:shape id="_x0000_i1033" type="#_x0000_t75" style="width:16.1pt;height:20.35pt" o:ole="">
            <v:imagedata r:id="rId23" o:title=""/>
          </v:shape>
          <o:OLEObject Type="Embed" ProgID="Equation.3" ShapeID="_x0000_i1033" DrawAspect="Content" ObjectID="_1477757702" r:id="rId24"/>
        </w:object>
      </w:r>
    </w:p>
    <w:p w:rsidR="008032FB" w:rsidRPr="00A170BB" w:rsidRDefault="008032FB" w:rsidP="008032FB">
      <w:pPr>
        <w:rPr>
          <w:szCs w:val="28"/>
        </w:rPr>
      </w:pPr>
      <w:r w:rsidRPr="00A170BB">
        <w:rPr>
          <w:szCs w:val="28"/>
        </w:rPr>
        <w:t xml:space="preserve">По оси абсцисс откладываются значения латентного параметра θ «уровень сформированности информационной компетенции», по оси ординат – «трудность индикатора» β. Из сравнения гистограмм видно, что диапазон изменения латентного параметра β уже интервала варьирования аналогичного параметра θ,  что свидетельствует о низкой  валидности используемой анкеты по отношению к исследуемой выборке студентов. Из-за этого в диапазоне  от 0,9 до 4,0 логит погрешность расчёта латентного параметра, характеризующего сформированность информационной компетенции, будет выше, чем в интервале от минус 1,14 до 0,9 логит.  </w:t>
      </w:r>
    </w:p>
    <w:p w:rsidR="008032FB" w:rsidRPr="00A170BB" w:rsidRDefault="008032FB" w:rsidP="008032FB">
      <w:pPr>
        <w:ind w:right="98"/>
        <w:rPr>
          <w:szCs w:val="28"/>
        </w:rPr>
      </w:pPr>
      <w:r w:rsidRPr="00A170BB">
        <w:rPr>
          <w:szCs w:val="28"/>
        </w:rPr>
        <w:t xml:space="preserve">         Оценки трудности индикаторов β</w:t>
      </w:r>
      <w:r w:rsidRPr="00A170BB">
        <w:rPr>
          <w:szCs w:val="28"/>
          <w:vertAlign w:val="subscript"/>
        </w:rPr>
        <w:t>ј</w:t>
      </w:r>
      <w:r w:rsidRPr="00A170BB">
        <w:rPr>
          <w:szCs w:val="28"/>
        </w:rPr>
        <w:t xml:space="preserve">* анкеты «Информационная компетентность» представлены в таблице 2.  В заключительной части таблицы  указаны значения показателей качества предтеста: коэффициента дифференциации тестируемых  </w:t>
      </w:r>
      <w:r w:rsidRPr="00A170BB">
        <w:rPr>
          <w:szCs w:val="28"/>
          <w:lang w:val="en-US"/>
        </w:rPr>
        <w:t>r</w:t>
      </w:r>
      <w:r w:rsidRPr="00A170BB">
        <w:rPr>
          <w:szCs w:val="28"/>
          <w:vertAlign w:val="subscript"/>
          <w:lang w:val="en-US"/>
        </w:rPr>
        <w:t>d</w:t>
      </w:r>
      <w:r w:rsidRPr="00A170BB">
        <w:rPr>
          <w:szCs w:val="28"/>
          <w:vertAlign w:val="subscript"/>
        </w:rPr>
        <w:t xml:space="preserve"> </w:t>
      </w:r>
      <w:r w:rsidRPr="00A170BB">
        <w:rPr>
          <w:szCs w:val="28"/>
        </w:rPr>
        <w:t xml:space="preserve"> и коэффициента надёжности  α</w:t>
      </w:r>
      <w:r w:rsidRPr="00A170BB">
        <w:rPr>
          <w:szCs w:val="28"/>
          <w:vertAlign w:val="subscript"/>
          <w:lang w:val="en-US"/>
        </w:rPr>
        <w:t>Kr</w:t>
      </w:r>
      <w:r w:rsidRPr="00A170BB">
        <w:rPr>
          <w:szCs w:val="28"/>
          <w:vertAlign w:val="subscript"/>
        </w:rPr>
        <w:t xml:space="preserve"> </w:t>
      </w:r>
      <w:r w:rsidRPr="00A170BB">
        <w:rPr>
          <w:szCs w:val="28"/>
        </w:rPr>
        <w:t xml:space="preserve">, рассчитанного по формуле Кронбаха. Из таблицы 2 видно, что они больше </w:t>
      </w:r>
      <w:r w:rsidRPr="00A170BB">
        <w:rPr>
          <w:szCs w:val="28"/>
        </w:rPr>
        <w:lastRenderedPageBreak/>
        <w:t xml:space="preserve">значения 0,8, что является признаком хорошего качества анкеты. Низкие значения вероятности </w:t>
      </w:r>
      <w:r w:rsidRPr="00A170BB">
        <w:rPr>
          <w:position w:val="-32"/>
          <w:szCs w:val="28"/>
        </w:rPr>
        <w:object w:dxaOrig="840" w:dyaOrig="580">
          <v:shape id="_x0000_i1034" type="#_x0000_t75" style="width:40.65pt;height:35.6pt" o:ole="">
            <v:imagedata r:id="rId25" o:title=""/>
          </v:shape>
          <o:OLEObject Type="Embed" ProgID="Equation.3" ShapeID="_x0000_i1034" DrawAspect="Content" ObjectID="_1477757703" r:id="rId26"/>
        </w:object>
      </w:r>
      <w:r w:rsidRPr="00A170BB">
        <w:rPr>
          <w:szCs w:val="28"/>
        </w:rPr>
        <w:t xml:space="preserve"> является признаком низкой совместимости  индикаторов анкеты. Значение </w:t>
      </w:r>
      <w:r w:rsidRPr="00A170BB">
        <w:rPr>
          <w:position w:val="-32"/>
          <w:szCs w:val="28"/>
        </w:rPr>
        <w:object w:dxaOrig="780" w:dyaOrig="580">
          <v:shape id="_x0000_i1035" type="#_x0000_t75" style="width:34.75pt;height:33.9pt" o:ole="">
            <v:imagedata r:id="rId27" o:title=""/>
          </v:shape>
          <o:OLEObject Type="Embed" ProgID="Equation.3" ShapeID="_x0000_i1035" DrawAspect="Content" ObjectID="_1477757704" r:id="rId28"/>
        </w:object>
      </w:r>
      <w:r w:rsidRPr="00A170BB">
        <w:rPr>
          <w:szCs w:val="28"/>
        </w:rPr>
        <w:t xml:space="preserve"> остается неудовлетворительным даже после удаления 27 участников анкетирования и 2 индикаторов (5, 16). Что же касается каждого индикатора, то условие  адекватности модели Раша выполняется для всех оставшихся после чистки анкеты индикаторов, за исключением индикатора 7.    </w:t>
      </w:r>
    </w:p>
    <w:p w:rsidR="008032FB" w:rsidRPr="00A170BB" w:rsidRDefault="008032FB" w:rsidP="008032FB">
      <w:pPr>
        <w:ind w:right="98"/>
        <w:rPr>
          <w:szCs w:val="28"/>
        </w:rPr>
      </w:pPr>
      <w:r w:rsidRPr="00A170BB">
        <w:rPr>
          <w:szCs w:val="28"/>
        </w:rPr>
        <w:t xml:space="preserve">                                                                                                              Таблица </w:t>
      </w:r>
      <w:r>
        <w:rPr>
          <w:szCs w:val="28"/>
        </w:rPr>
        <w:t>№</w:t>
      </w:r>
      <w:r w:rsidRPr="00A170BB">
        <w:rPr>
          <w:szCs w:val="28"/>
        </w:rPr>
        <w:t>2</w:t>
      </w:r>
    </w:p>
    <w:p w:rsidR="008032FB" w:rsidRPr="00A170BB" w:rsidRDefault="008032FB" w:rsidP="008032FB">
      <w:pPr>
        <w:ind w:right="98"/>
        <w:jc w:val="center"/>
        <w:rPr>
          <w:szCs w:val="28"/>
        </w:rPr>
      </w:pPr>
      <w:r w:rsidRPr="00A170BB">
        <w:rPr>
          <w:szCs w:val="28"/>
        </w:rPr>
        <w:t>Оценки трудности индикаторов βј* анкеты «Информационная компетентность»</w:t>
      </w:r>
    </w:p>
    <w:tbl>
      <w:tblPr>
        <w:tblW w:w="8720" w:type="dxa"/>
        <w:tblLook w:val="0000"/>
      </w:tblPr>
      <w:tblGrid>
        <w:gridCol w:w="809"/>
        <w:gridCol w:w="1788"/>
        <w:gridCol w:w="1155"/>
        <w:gridCol w:w="1115"/>
        <w:gridCol w:w="1216"/>
        <w:gridCol w:w="1234"/>
        <w:gridCol w:w="1413"/>
      </w:tblGrid>
      <w:tr w:rsidR="008032FB" w:rsidRPr="00A170BB" w:rsidTr="001E0AD1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  <w:lang w:val="en-US"/>
              </w:rPr>
              <w:t>j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Для исходной матрицы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Для "очищенной" матрицы</w:t>
            </w:r>
          </w:p>
        </w:tc>
      </w:tr>
      <w:tr w:rsidR="008032FB" w:rsidRPr="00A170BB" w:rsidTr="001E0AD1">
        <w:trPr>
          <w:trHeight w:val="40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position w:val="-12"/>
                <w:szCs w:val="28"/>
                <w:lang w:val="en-US"/>
              </w:rPr>
              <w:object w:dxaOrig="279" w:dyaOrig="360">
                <v:shape id="_x0000_i1036" type="#_x0000_t75" style="width:14.4pt;height:17.8pt" o:ole="">
                  <v:imagedata r:id="rId29" o:title=""/>
                </v:shape>
                <o:OLEObject Type="Embed" ProgID="Equation.3" ShapeID="_x0000_i1036" DrawAspect="Content" ObjectID="_1477757705" r:id="rId30"/>
              </w:object>
            </w:r>
            <w:r w:rsidRPr="00A170BB">
              <w:rPr>
                <w:szCs w:val="28"/>
              </w:rPr>
              <w:t xml:space="preserve"> (логит)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position w:val="-14"/>
                <w:szCs w:val="28"/>
              </w:rPr>
              <w:object w:dxaOrig="279" w:dyaOrig="400">
                <v:shape id="_x0000_i1037" type="#_x0000_t75" style="width:14.4pt;height:20.35pt" o:ole="">
                  <v:imagedata r:id="rId31" o:title=""/>
                </v:shape>
                <o:OLEObject Type="Embed" ProgID="Equation.3" ShapeID="_x0000_i1037" DrawAspect="Content" ObjectID="_1477757706" r:id="rId32"/>
              </w:object>
            </w:r>
            <w:r w:rsidRPr="00A170BB">
              <w:rPr>
                <w:szCs w:val="28"/>
              </w:rPr>
              <w:t xml:space="preserve"> (логит)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  <w:vertAlign w:val="superscript"/>
              </w:rPr>
            </w:pPr>
            <w:r w:rsidRPr="00A170BB">
              <w:rPr>
                <w:position w:val="-20"/>
                <w:szCs w:val="28"/>
              </w:rPr>
              <w:object w:dxaOrig="360" w:dyaOrig="440">
                <v:shape id="_x0000_i1038" type="#_x0000_t75" style="width:22.85pt;height:27.1pt" o:ole="" fillcolor="window">
                  <v:imagedata r:id="rId33" o:title=""/>
                </v:shape>
                <o:OLEObject Type="Embed" ProgID="Equation.3" ShapeID="_x0000_i1038" DrawAspect="Content" ObjectID="_1477757707" r:id="rId34"/>
              </w:objec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position w:val="-14"/>
                <w:szCs w:val="28"/>
                <w:lang w:val="en-US"/>
              </w:rPr>
              <w:object w:dxaOrig="340" w:dyaOrig="380">
                <v:shape id="_x0000_i1039" type="#_x0000_t75" style="width:16.95pt;height:18.65pt" o:ole="">
                  <v:imagedata r:id="rId35" o:title=""/>
                </v:shape>
                <o:OLEObject Type="Embed" ProgID="Equation.3" ShapeID="_x0000_i1039" DrawAspect="Content" ObjectID="_1477757708" r:id="rId36"/>
              </w:object>
            </w:r>
            <w:r w:rsidRPr="00A170BB">
              <w:rPr>
                <w:szCs w:val="28"/>
              </w:rPr>
              <w:t xml:space="preserve"> (логит)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A170BB">
              <w:rPr>
                <w:position w:val="-14"/>
                <w:szCs w:val="28"/>
              </w:rPr>
              <w:object w:dxaOrig="360" w:dyaOrig="400">
                <v:shape id="_x0000_i1040" type="#_x0000_t75" style="width:17.8pt;height:20.35pt" o:ole="">
                  <v:imagedata r:id="rId37" o:title=""/>
                </v:shape>
                <o:OLEObject Type="Embed" ProgID="Equation.3" ShapeID="_x0000_i1040" DrawAspect="Content" ObjectID="_1477757709" r:id="rId38"/>
              </w:object>
            </w:r>
            <w:r w:rsidRPr="00A170BB">
              <w:rPr>
                <w:szCs w:val="28"/>
              </w:rPr>
              <w:t xml:space="preserve"> (логит)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A170BB">
              <w:rPr>
                <w:position w:val="-18"/>
                <w:szCs w:val="28"/>
              </w:rPr>
              <w:object w:dxaOrig="360" w:dyaOrig="420">
                <v:shape id="_x0000_i1041" type="#_x0000_t75" style="width:22.85pt;height:26.25pt" o:ole="" fillcolor="window">
                  <v:imagedata r:id="rId39" o:title=""/>
                </v:shape>
                <o:OLEObject Type="Embed" ProgID="Equation.3" ShapeID="_x0000_i1041" DrawAspect="Content" ObjectID="_1477757710" r:id="rId40"/>
              </w:objec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-0,084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-0,087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0,080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0,948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0,777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-0,455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0,063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-0,501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0,124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-2,241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0,192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0,623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0,634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0,098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-0,355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-0,352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0,024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-0,189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-0,179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0,171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-0,039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0,370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-0,027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-0,011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0,192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0,521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0,443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lastRenderedPageBreak/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0,264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-0,374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0,160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-0,328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0,589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-0,351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0,205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-0,148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-0,169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0,582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-0,127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-1,232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0,199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-1,289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0,256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0,036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0,211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0,450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0,220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0,762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0,783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0,277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0,744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0,758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0,141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0,871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0,891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0,159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0,595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0,491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0,618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0,855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0,546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0,636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0,552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0,337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0,717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0,357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0,451</w:t>
            </w:r>
          </w:p>
        </w:tc>
      </w:tr>
      <w:tr w:rsidR="008032FB" w:rsidRPr="00A170BB" w:rsidTr="001E0AD1">
        <w:trPr>
          <w:trHeight w:val="5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position w:val="-32"/>
                <w:szCs w:val="28"/>
              </w:rPr>
              <w:object w:dxaOrig="780" w:dyaOrig="580">
                <v:shape id="_x0000_i1042" type="#_x0000_t75" style="width:29.65pt;height:22pt" o:ole="">
                  <v:imagedata r:id="rId41" o:title=""/>
                </v:shape>
                <o:OLEObject Type="Embed" ProgID="Equation.3" ShapeID="_x0000_i1042" DrawAspect="Content" ObjectID="_1477757711" r:id="rId42"/>
              </w:objec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0,000374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  <w:lang w:val="en-US"/>
              </w:rPr>
            </w:pPr>
            <w:r w:rsidRPr="00A170BB">
              <w:rPr>
                <w:szCs w:val="28"/>
              </w:rPr>
              <w:t>0,0069</w:t>
            </w:r>
            <w:r w:rsidRPr="00A170BB">
              <w:rPr>
                <w:szCs w:val="28"/>
                <w:lang w:val="en-US"/>
              </w:rPr>
              <w:t>99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r</w:t>
            </w:r>
            <w:r w:rsidRPr="00A170BB">
              <w:rPr>
                <w:szCs w:val="28"/>
                <w:vertAlign w:val="subscript"/>
              </w:rPr>
              <w:t>d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0,88531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  <w:lang w:val="en-US"/>
              </w:rPr>
            </w:pPr>
            <w:r w:rsidRPr="00A170BB">
              <w:rPr>
                <w:szCs w:val="28"/>
              </w:rPr>
              <w:t>0,862</w:t>
            </w:r>
            <w:r w:rsidRPr="00A170BB">
              <w:rPr>
                <w:szCs w:val="28"/>
                <w:lang w:val="en-US"/>
              </w:rPr>
              <w:t>87</w:t>
            </w:r>
          </w:p>
        </w:tc>
      </w:tr>
      <w:tr w:rsidR="008032FB" w:rsidRPr="00A170BB" w:rsidTr="001E0AD1">
        <w:trPr>
          <w:trHeight w:val="2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position w:val="-10"/>
                <w:szCs w:val="28"/>
              </w:rPr>
              <w:object w:dxaOrig="400" w:dyaOrig="340">
                <v:shape id="_x0000_i1043" type="#_x0000_t75" style="width:20.35pt;height:16.95pt" o:ole="">
                  <v:imagedata r:id="rId43" o:title=""/>
                </v:shape>
                <o:OLEObject Type="Embed" ProgID="Equation.3" ShapeID="_x0000_i1043" DrawAspect="Content" ObjectID="_1477757712" r:id="rId44"/>
              </w:objec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>0,88904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  <w:lang w:val="en-US"/>
              </w:rPr>
            </w:pPr>
            <w:r w:rsidRPr="00A170BB">
              <w:rPr>
                <w:szCs w:val="28"/>
              </w:rPr>
              <w:t>0,872</w:t>
            </w:r>
            <w:r w:rsidRPr="00A170BB">
              <w:rPr>
                <w:szCs w:val="28"/>
                <w:lang w:val="en-US"/>
              </w:rPr>
              <w:t>86</w:t>
            </w:r>
          </w:p>
        </w:tc>
      </w:tr>
      <w:tr w:rsidR="008032FB" w:rsidRPr="00A170BB" w:rsidTr="001E0AD1">
        <w:trPr>
          <w:trHeight w:val="51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 xml:space="preserve">Объем выборки </w:t>
            </w:r>
            <w:r w:rsidRPr="00A170BB">
              <w:rPr>
                <w:szCs w:val="28"/>
                <w:lang w:val="en-US"/>
              </w:rPr>
              <w:t xml:space="preserve">452 </w:t>
            </w:r>
            <w:r w:rsidRPr="00A170BB">
              <w:rPr>
                <w:szCs w:val="28"/>
              </w:rPr>
              <w:t>участников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B" w:rsidRPr="00A170BB" w:rsidRDefault="008032FB" w:rsidP="001E0AD1">
            <w:pPr>
              <w:jc w:val="center"/>
              <w:rPr>
                <w:szCs w:val="28"/>
              </w:rPr>
            </w:pPr>
            <w:r w:rsidRPr="00A170BB">
              <w:rPr>
                <w:szCs w:val="28"/>
              </w:rPr>
              <w:t xml:space="preserve">Объем выборки </w:t>
            </w:r>
            <w:r w:rsidRPr="00A170BB">
              <w:rPr>
                <w:szCs w:val="28"/>
                <w:lang w:val="en-US"/>
              </w:rPr>
              <w:t>425</w:t>
            </w:r>
            <w:r w:rsidRPr="00A170BB">
              <w:rPr>
                <w:szCs w:val="28"/>
              </w:rPr>
              <w:t xml:space="preserve"> участников</w:t>
            </w:r>
          </w:p>
        </w:tc>
      </w:tr>
    </w:tbl>
    <w:p w:rsidR="008032FB" w:rsidRPr="00A170BB" w:rsidRDefault="008032FB" w:rsidP="008032FB">
      <w:pPr>
        <w:ind w:right="98"/>
        <w:rPr>
          <w:sz w:val="16"/>
          <w:szCs w:val="16"/>
        </w:rPr>
      </w:pPr>
    </w:p>
    <w:p w:rsidR="008032FB" w:rsidRPr="00A170BB" w:rsidRDefault="008032FB" w:rsidP="008032FB">
      <w:pPr>
        <w:ind w:right="98"/>
        <w:rPr>
          <w:szCs w:val="28"/>
        </w:rPr>
      </w:pPr>
      <w:r w:rsidRPr="00A170BB">
        <w:rPr>
          <w:szCs w:val="28"/>
        </w:rPr>
        <w:t xml:space="preserve">              Анализ оценок бисериального коэффициента корреляции </w:t>
      </w:r>
      <w:r w:rsidRPr="00A170BB">
        <w:rPr>
          <w:i/>
          <w:iCs/>
          <w:szCs w:val="28"/>
          <w:lang w:val="en-US"/>
        </w:rPr>
        <w:t>R</w:t>
      </w:r>
      <w:r w:rsidRPr="00A170BB">
        <w:rPr>
          <w:i/>
          <w:iCs/>
          <w:szCs w:val="28"/>
          <w:vertAlign w:val="superscript"/>
        </w:rPr>
        <w:t>*</w:t>
      </w:r>
      <w:r w:rsidRPr="00A170BB">
        <w:rPr>
          <w:i/>
          <w:iCs/>
          <w:szCs w:val="28"/>
          <w:vertAlign w:val="subscript"/>
          <w:lang w:val="en-US"/>
        </w:rPr>
        <w:t>b</w:t>
      </w:r>
      <w:r w:rsidRPr="00A170BB">
        <w:rPr>
          <w:i/>
          <w:iCs/>
          <w:szCs w:val="28"/>
          <w:vertAlign w:val="subscript"/>
        </w:rPr>
        <w:t>j</w:t>
      </w:r>
      <w:r w:rsidRPr="00A170BB">
        <w:rPr>
          <w:szCs w:val="28"/>
        </w:rPr>
        <w:t xml:space="preserve"> показал, что для всех индикаторов он превышает величину 0,3. Это свидетельствует о хорошей валидности индикаторов анкеты.</w:t>
      </w: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 xml:space="preserve">Оценка вероятностных кривых дескрипторов индикаторов, по которым исследуется их работоспособность, показала, что для большинства индикаторов свой диапазон действия имеют дескрипторы 0, 1, 3, 4, что говорит об их работоспособности. В качестве примера, подтверждающего данный вывод, на рисунке 2 представлены вероятностные кривые </w:t>
      </w:r>
      <w:r w:rsidRPr="00A170BB">
        <w:rPr>
          <w:szCs w:val="28"/>
        </w:rPr>
        <w:lastRenderedPageBreak/>
        <w:t>дескрипторов индикатора 2. Как видно из рисунка, дескриптор 2 «затрудняюсь ответить» не работает. Объяснить это можно, на наш взгляд, тем, что он дублируется дескрипторами 1 «скорее нет, чем да» и 3 «скорее да, чем нет». По нашему мнению, его присутствие в индикаторах ответов усложняет выбор соответствующего ответа студентами, т.е. дескриптор 2 является мешающим фактором, и его следует исключить из числа дескрипторов индикаторов. Это не только позволит повысить определённость в выборе ответа студентами, но и снизит трудоёмкость обработки и анализа результатов анкетирования.</w:t>
      </w:r>
    </w:p>
    <w:p w:rsidR="008032FB" w:rsidRPr="00A170BB" w:rsidRDefault="008032FB" w:rsidP="008032F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94475" cy="328104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FB" w:rsidRPr="00A170BB" w:rsidRDefault="008032FB" w:rsidP="008032FB">
      <w:pPr>
        <w:rPr>
          <w:szCs w:val="28"/>
        </w:rPr>
      </w:pPr>
      <w:r w:rsidRPr="00A170BB">
        <w:rPr>
          <w:szCs w:val="28"/>
        </w:rPr>
        <w:t>Рис. 2. – Вероятностные кривые дескрипторов индикатора 2 «Имею опыт работы с научной литературой»</w:t>
      </w:r>
    </w:p>
    <w:p w:rsidR="008032FB" w:rsidRPr="00A170BB" w:rsidRDefault="008032FB" w:rsidP="008032FB">
      <w:pPr>
        <w:rPr>
          <w:szCs w:val="28"/>
        </w:rPr>
      </w:pPr>
      <w:r w:rsidRPr="00A170BB">
        <w:rPr>
          <w:szCs w:val="28"/>
        </w:rPr>
        <w:t xml:space="preserve">Распределение участников анкетирования по категориям </w:t>
      </w:r>
      <w:r w:rsidRPr="00A170BB">
        <w:rPr>
          <w:szCs w:val="28"/>
          <w:lang w:val="en-US"/>
        </w:rPr>
        <w:t>G</w:t>
      </w:r>
      <w:r w:rsidRPr="00A170BB">
        <w:rPr>
          <w:szCs w:val="28"/>
        </w:rPr>
        <w:t xml:space="preserve"> уровня сформированности компетенции [3, 11] выполняется исходя из значения индивидуального балла </w:t>
      </w:r>
      <w:r w:rsidRPr="00A170BB">
        <w:rPr>
          <w:position w:val="-12"/>
          <w:szCs w:val="28"/>
        </w:rPr>
        <w:object w:dxaOrig="320" w:dyaOrig="460">
          <v:shape id="_x0000_i1044" type="#_x0000_t75" style="width:16.95pt;height:22.85pt" o:ole="">
            <v:imagedata r:id="rId46" o:title=""/>
          </v:shape>
          <o:OLEObject Type="Embed" ProgID="Equation.3" ShapeID="_x0000_i1044" DrawAspect="Content" ObjectID="_1477757713" r:id="rId47"/>
        </w:object>
      </w:r>
      <w:r w:rsidRPr="00A170BB">
        <w:rPr>
          <w:szCs w:val="28"/>
        </w:rPr>
        <w:t xml:space="preserve"> (</w:t>
      </w:r>
      <w:r w:rsidRPr="00A170BB">
        <w:rPr>
          <w:i/>
          <w:iCs/>
          <w:szCs w:val="28"/>
          <w:lang w:val="en-US"/>
        </w:rPr>
        <w:t>i</w:t>
      </w:r>
      <w:r w:rsidRPr="00A170BB">
        <w:rPr>
          <w:szCs w:val="28"/>
        </w:rPr>
        <w:t xml:space="preserve"> – номер анкетируемого) с помощью таблицы 3.</w:t>
      </w:r>
    </w:p>
    <w:p w:rsidR="0088565A" w:rsidRDefault="008032FB" w:rsidP="008032FB">
      <w:pPr>
        <w:ind w:right="998"/>
        <w:jc w:val="center"/>
        <w:rPr>
          <w:szCs w:val="28"/>
        </w:rPr>
      </w:pPr>
      <w:r w:rsidRPr="00A43B77">
        <w:rPr>
          <w:szCs w:val="28"/>
        </w:rPr>
        <w:t xml:space="preserve">                                                    </w:t>
      </w:r>
      <w:r w:rsidR="0088565A">
        <w:rPr>
          <w:szCs w:val="28"/>
        </w:rPr>
        <w:t xml:space="preserve">                             </w:t>
      </w:r>
      <w:r w:rsidRPr="00A43B77">
        <w:rPr>
          <w:szCs w:val="28"/>
        </w:rPr>
        <w:t xml:space="preserve">               </w:t>
      </w:r>
    </w:p>
    <w:p w:rsidR="0088565A" w:rsidRDefault="0088565A" w:rsidP="008032FB">
      <w:pPr>
        <w:ind w:right="998"/>
        <w:jc w:val="center"/>
        <w:rPr>
          <w:szCs w:val="28"/>
        </w:rPr>
      </w:pPr>
    </w:p>
    <w:p w:rsidR="00600F4D" w:rsidRDefault="008032FB" w:rsidP="00600F4D">
      <w:pPr>
        <w:ind w:right="998"/>
        <w:jc w:val="right"/>
        <w:rPr>
          <w:szCs w:val="28"/>
        </w:rPr>
      </w:pPr>
      <w:r w:rsidRPr="00A43B77">
        <w:rPr>
          <w:szCs w:val="28"/>
        </w:rPr>
        <w:lastRenderedPageBreak/>
        <w:t xml:space="preserve"> </w:t>
      </w:r>
      <w:r w:rsidR="00600F4D">
        <w:rPr>
          <w:szCs w:val="28"/>
        </w:rPr>
        <w:t xml:space="preserve">                                                                                                </w:t>
      </w:r>
      <w:r w:rsidRPr="00A43B77">
        <w:rPr>
          <w:szCs w:val="28"/>
        </w:rPr>
        <w:t xml:space="preserve"> </w:t>
      </w:r>
      <w:r w:rsidRPr="00A170BB">
        <w:rPr>
          <w:szCs w:val="28"/>
        </w:rPr>
        <w:t xml:space="preserve">Таблица </w:t>
      </w:r>
      <w:r w:rsidR="0088565A">
        <w:rPr>
          <w:szCs w:val="28"/>
        </w:rPr>
        <w:t>№</w:t>
      </w:r>
      <w:r w:rsidRPr="00A170BB">
        <w:rPr>
          <w:szCs w:val="28"/>
        </w:rPr>
        <w:t xml:space="preserve">3  </w:t>
      </w:r>
    </w:p>
    <w:p w:rsidR="008032FB" w:rsidRPr="00A170BB" w:rsidRDefault="008032FB" w:rsidP="008032FB">
      <w:pPr>
        <w:ind w:right="998"/>
        <w:jc w:val="center"/>
        <w:rPr>
          <w:szCs w:val="28"/>
        </w:rPr>
      </w:pPr>
      <w:r w:rsidRPr="00A170BB">
        <w:rPr>
          <w:szCs w:val="28"/>
        </w:rPr>
        <w:t xml:space="preserve">Деление респондентов на категории </w:t>
      </w:r>
      <w:r w:rsidRPr="00A170BB">
        <w:rPr>
          <w:szCs w:val="28"/>
          <w:lang w:val="en-US"/>
        </w:rPr>
        <w:t>G</w:t>
      </w:r>
      <w:r w:rsidRPr="00A170BB">
        <w:rPr>
          <w:szCs w:val="28"/>
        </w:rPr>
        <w:t xml:space="preserve"> по степени сформированности информационной компетенции</w:t>
      </w:r>
    </w:p>
    <w:p w:rsidR="008032FB" w:rsidRPr="00A170BB" w:rsidRDefault="008032FB" w:rsidP="008032FB">
      <w:pPr>
        <w:ind w:right="998"/>
        <w:rPr>
          <w:sz w:val="16"/>
          <w:szCs w:val="16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651"/>
      </w:tblGrid>
      <w:tr w:rsidR="008032FB" w:rsidRPr="00A170BB" w:rsidTr="001E0AD1">
        <w:tc>
          <w:tcPr>
            <w:tcW w:w="1951" w:type="dxa"/>
            <w:vAlign w:val="center"/>
          </w:tcPr>
          <w:p w:rsidR="008032FB" w:rsidRPr="001B79C7" w:rsidRDefault="008032FB" w:rsidP="001E0AD1">
            <w:pPr>
              <w:jc w:val="center"/>
              <w:rPr>
                <w:szCs w:val="28"/>
              </w:rPr>
            </w:pPr>
            <w:r w:rsidRPr="001B79C7">
              <w:rPr>
                <w:position w:val="-12"/>
                <w:szCs w:val="28"/>
              </w:rPr>
              <w:object w:dxaOrig="279" w:dyaOrig="380">
                <v:shape id="_x0000_i1045" type="#_x0000_t75" style="width:13.55pt;height:18.65pt" o:ole="">
                  <v:imagedata r:id="rId11" o:title=""/>
                </v:shape>
                <o:OLEObject Type="Embed" ProgID="Equation.3" ShapeID="_x0000_i1045" DrawAspect="Content" ObjectID="_1477757714" r:id="rId48"/>
              </w:object>
            </w:r>
          </w:p>
        </w:tc>
        <w:tc>
          <w:tcPr>
            <w:tcW w:w="7651" w:type="dxa"/>
            <w:vAlign w:val="center"/>
          </w:tcPr>
          <w:p w:rsidR="008032FB" w:rsidRPr="001B79C7" w:rsidRDefault="008032FB" w:rsidP="001E0AD1">
            <w:pPr>
              <w:jc w:val="center"/>
              <w:rPr>
                <w:szCs w:val="28"/>
              </w:rPr>
            </w:pPr>
            <w:r w:rsidRPr="001B79C7">
              <w:rPr>
                <w:szCs w:val="28"/>
              </w:rPr>
              <w:t xml:space="preserve">Категория </w:t>
            </w:r>
            <w:r w:rsidRPr="001B79C7">
              <w:rPr>
                <w:szCs w:val="28"/>
                <w:lang w:val="en-US"/>
              </w:rPr>
              <w:t>G</w:t>
            </w:r>
            <w:r w:rsidRPr="001B79C7">
              <w:rPr>
                <w:szCs w:val="28"/>
              </w:rPr>
              <w:t xml:space="preserve"> уровня сформированности компетенции</w:t>
            </w:r>
          </w:p>
        </w:tc>
      </w:tr>
      <w:tr w:rsidR="008032FB" w:rsidRPr="00A170BB" w:rsidTr="001E0AD1">
        <w:tc>
          <w:tcPr>
            <w:tcW w:w="1951" w:type="dxa"/>
            <w:vAlign w:val="center"/>
          </w:tcPr>
          <w:p w:rsidR="008032FB" w:rsidRPr="001B79C7" w:rsidRDefault="008032FB" w:rsidP="001E0AD1">
            <w:pPr>
              <w:rPr>
                <w:szCs w:val="28"/>
              </w:rPr>
            </w:pPr>
            <w:r w:rsidRPr="001B79C7">
              <w:rPr>
                <w:i/>
                <w:iCs/>
                <w:szCs w:val="28"/>
              </w:rPr>
              <w:t>0 ≤</w:t>
            </w:r>
            <w:r w:rsidRPr="001B79C7">
              <w:rPr>
                <w:position w:val="-12"/>
                <w:szCs w:val="28"/>
              </w:rPr>
              <w:object w:dxaOrig="279" w:dyaOrig="380">
                <v:shape id="_x0000_i1046" type="#_x0000_t75" style="width:13.55pt;height:18.65pt" o:ole="">
                  <v:imagedata r:id="rId49" o:title=""/>
                </v:shape>
                <o:OLEObject Type="Embed" ProgID="Equation.3" ShapeID="_x0000_i1046" DrawAspect="Content" ObjectID="_1477757715" r:id="rId50"/>
              </w:object>
            </w:r>
            <w:r w:rsidRPr="001B79C7">
              <w:rPr>
                <w:i/>
                <w:iCs/>
                <w:szCs w:val="28"/>
              </w:rPr>
              <w:t>&lt; 25</w:t>
            </w:r>
          </w:p>
        </w:tc>
        <w:tc>
          <w:tcPr>
            <w:tcW w:w="7651" w:type="dxa"/>
            <w:vAlign w:val="center"/>
          </w:tcPr>
          <w:p w:rsidR="008032FB" w:rsidRPr="001B79C7" w:rsidRDefault="008032FB" w:rsidP="001E0AD1">
            <w:pPr>
              <w:ind w:left="72"/>
              <w:rPr>
                <w:szCs w:val="28"/>
              </w:rPr>
            </w:pPr>
            <w:r w:rsidRPr="001B79C7">
              <w:rPr>
                <w:szCs w:val="28"/>
                <w:lang w:val="en-US"/>
              </w:rPr>
              <w:t>G</w:t>
            </w:r>
            <w:r w:rsidRPr="001B79C7">
              <w:rPr>
                <w:szCs w:val="28"/>
              </w:rPr>
              <w:t>1 – уровень низкий  (компетенция сформирована  недостаточно)</w:t>
            </w:r>
          </w:p>
        </w:tc>
      </w:tr>
      <w:tr w:rsidR="008032FB" w:rsidRPr="00A170BB" w:rsidTr="001E0AD1">
        <w:tc>
          <w:tcPr>
            <w:tcW w:w="1951" w:type="dxa"/>
            <w:vAlign w:val="center"/>
          </w:tcPr>
          <w:p w:rsidR="008032FB" w:rsidRPr="001B79C7" w:rsidRDefault="008032FB" w:rsidP="001E0AD1">
            <w:pPr>
              <w:rPr>
                <w:szCs w:val="28"/>
              </w:rPr>
            </w:pPr>
            <w:r w:rsidRPr="001B79C7">
              <w:rPr>
                <w:i/>
                <w:iCs/>
                <w:szCs w:val="28"/>
              </w:rPr>
              <w:t>25 ≤</w:t>
            </w:r>
            <w:r w:rsidRPr="001B79C7">
              <w:rPr>
                <w:position w:val="-12"/>
                <w:szCs w:val="28"/>
              </w:rPr>
              <w:object w:dxaOrig="279" w:dyaOrig="380">
                <v:shape id="_x0000_i1047" type="#_x0000_t75" style="width:13.55pt;height:18.65pt" o:ole="">
                  <v:imagedata r:id="rId49" o:title=""/>
                </v:shape>
                <o:OLEObject Type="Embed" ProgID="Equation.3" ShapeID="_x0000_i1047" DrawAspect="Content" ObjectID="_1477757716" r:id="rId51"/>
              </w:object>
            </w:r>
            <w:r w:rsidRPr="001B79C7">
              <w:rPr>
                <w:i/>
                <w:iCs/>
                <w:szCs w:val="28"/>
              </w:rPr>
              <w:t>&lt; 50</w:t>
            </w:r>
          </w:p>
        </w:tc>
        <w:tc>
          <w:tcPr>
            <w:tcW w:w="7651" w:type="dxa"/>
            <w:vAlign w:val="center"/>
          </w:tcPr>
          <w:p w:rsidR="008032FB" w:rsidRPr="001B79C7" w:rsidRDefault="008032FB" w:rsidP="001E0AD1">
            <w:pPr>
              <w:ind w:left="72"/>
              <w:rPr>
                <w:szCs w:val="28"/>
              </w:rPr>
            </w:pPr>
            <w:r w:rsidRPr="001B79C7">
              <w:rPr>
                <w:szCs w:val="28"/>
                <w:lang w:val="en-US"/>
              </w:rPr>
              <w:t>G</w:t>
            </w:r>
            <w:r w:rsidRPr="001B79C7">
              <w:rPr>
                <w:szCs w:val="28"/>
              </w:rPr>
              <w:t>2 – пороговый уровень (компетенция сформирована удовлетворительно)</w:t>
            </w:r>
          </w:p>
        </w:tc>
      </w:tr>
      <w:tr w:rsidR="008032FB" w:rsidRPr="00A170BB" w:rsidTr="001E0AD1">
        <w:tc>
          <w:tcPr>
            <w:tcW w:w="1951" w:type="dxa"/>
            <w:vAlign w:val="center"/>
          </w:tcPr>
          <w:p w:rsidR="008032FB" w:rsidRPr="001B79C7" w:rsidRDefault="008032FB" w:rsidP="001E0AD1">
            <w:pPr>
              <w:rPr>
                <w:szCs w:val="28"/>
              </w:rPr>
            </w:pPr>
            <w:r w:rsidRPr="001B79C7">
              <w:rPr>
                <w:i/>
                <w:iCs/>
                <w:szCs w:val="28"/>
              </w:rPr>
              <w:t>50 ≤</w:t>
            </w:r>
            <w:r w:rsidRPr="001B79C7">
              <w:rPr>
                <w:position w:val="-12"/>
                <w:szCs w:val="28"/>
              </w:rPr>
              <w:object w:dxaOrig="279" w:dyaOrig="380">
                <v:shape id="_x0000_i1048" type="#_x0000_t75" style="width:13.55pt;height:18.65pt" o:ole="">
                  <v:imagedata r:id="rId49" o:title=""/>
                </v:shape>
                <o:OLEObject Type="Embed" ProgID="Equation.3" ShapeID="_x0000_i1048" DrawAspect="Content" ObjectID="_1477757717" r:id="rId52"/>
              </w:object>
            </w:r>
            <w:r w:rsidRPr="001B79C7">
              <w:rPr>
                <w:i/>
                <w:iCs/>
                <w:szCs w:val="28"/>
              </w:rPr>
              <w:t>&lt; 75</w:t>
            </w:r>
          </w:p>
        </w:tc>
        <w:tc>
          <w:tcPr>
            <w:tcW w:w="7651" w:type="dxa"/>
            <w:vAlign w:val="center"/>
          </w:tcPr>
          <w:p w:rsidR="008032FB" w:rsidRPr="001B79C7" w:rsidRDefault="008032FB" w:rsidP="001E0AD1">
            <w:pPr>
              <w:ind w:left="72"/>
              <w:rPr>
                <w:szCs w:val="28"/>
              </w:rPr>
            </w:pPr>
            <w:r w:rsidRPr="001B79C7">
              <w:rPr>
                <w:szCs w:val="28"/>
                <w:lang w:val="en-US"/>
              </w:rPr>
              <w:t>G</w:t>
            </w:r>
            <w:r w:rsidRPr="001B79C7">
              <w:rPr>
                <w:szCs w:val="28"/>
              </w:rPr>
              <w:t>3 – средний уровень (компетенция сформирована  оптимально)</w:t>
            </w:r>
          </w:p>
        </w:tc>
      </w:tr>
      <w:tr w:rsidR="008032FB" w:rsidRPr="00A170BB" w:rsidTr="001E0AD1">
        <w:tc>
          <w:tcPr>
            <w:tcW w:w="1951" w:type="dxa"/>
            <w:vAlign w:val="center"/>
          </w:tcPr>
          <w:p w:rsidR="008032FB" w:rsidRPr="001B79C7" w:rsidRDefault="008032FB" w:rsidP="001E0AD1">
            <w:pPr>
              <w:rPr>
                <w:szCs w:val="28"/>
              </w:rPr>
            </w:pPr>
            <w:r w:rsidRPr="001B79C7">
              <w:rPr>
                <w:i/>
                <w:iCs/>
                <w:szCs w:val="28"/>
              </w:rPr>
              <w:t>75≤</w:t>
            </w:r>
            <w:r w:rsidRPr="001B79C7">
              <w:rPr>
                <w:position w:val="-12"/>
                <w:szCs w:val="28"/>
              </w:rPr>
              <w:object w:dxaOrig="279" w:dyaOrig="380">
                <v:shape id="_x0000_i1049" type="#_x0000_t75" style="width:13.55pt;height:18.65pt" o:ole="">
                  <v:imagedata r:id="rId49" o:title=""/>
                </v:shape>
                <o:OLEObject Type="Embed" ProgID="Equation.3" ShapeID="_x0000_i1049" DrawAspect="Content" ObjectID="_1477757718" r:id="rId53"/>
              </w:object>
            </w:r>
            <w:r w:rsidRPr="001B79C7">
              <w:rPr>
                <w:i/>
                <w:iCs/>
                <w:szCs w:val="28"/>
              </w:rPr>
              <w:t>≤ 100</w:t>
            </w:r>
          </w:p>
        </w:tc>
        <w:tc>
          <w:tcPr>
            <w:tcW w:w="7651" w:type="dxa"/>
            <w:vAlign w:val="center"/>
          </w:tcPr>
          <w:p w:rsidR="008032FB" w:rsidRPr="001B79C7" w:rsidRDefault="008032FB" w:rsidP="001E0AD1">
            <w:pPr>
              <w:ind w:left="72"/>
              <w:rPr>
                <w:szCs w:val="28"/>
              </w:rPr>
            </w:pPr>
            <w:r w:rsidRPr="001B79C7">
              <w:rPr>
                <w:szCs w:val="28"/>
                <w:lang w:val="en-US"/>
              </w:rPr>
              <w:t>G</w:t>
            </w:r>
            <w:r w:rsidRPr="001B79C7">
              <w:rPr>
                <w:szCs w:val="28"/>
              </w:rPr>
              <w:t xml:space="preserve">4 – высокий уровень </w:t>
            </w:r>
          </w:p>
        </w:tc>
      </w:tr>
    </w:tbl>
    <w:p w:rsidR="008032FB" w:rsidRPr="00A170BB" w:rsidRDefault="008032FB" w:rsidP="008032FB">
      <w:pPr>
        <w:rPr>
          <w:szCs w:val="28"/>
        </w:rPr>
      </w:pPr>
    </w:p>
    <w:p w:rsidR="008032FB" w:rsidRPr="00A170BB" w:rsidRDefault="008032FB" w:rsidP="008032FB">
      <w:pPr>
        <w:rPr>
          <w:szCs w:val="28"/>
        </w:rPr>
      </w:pPr>
      <w:r w:rsidRPr="00A170BB">
        <w:rPr>
          <w:szCs w:val="28"/>
        </w:rPr>
        <w:t>Анализ полученных данных показал, что у 36 % анкетируемых уровень сформированности информативной компетенции высокий, у 57,5% - средний, у 6 % пороговый и лишь у 0,5 % - ниже порогового.</w:t>
      </w: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>Таким образом, анкета  «Информационная компетентность»  имеет удовлетворительные показатели качества и после доработки может быть использована совместно с политомической моделью Раша для расчёта латентных параметров, характеризующих признаки сформированности компетенций, связанных с получением, обработкой и анализом информации при решении профессиональных задач. Для повышения качества анкеты необходимо:</w:t>
      </w: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>- дополнить её новыми октантами, раскрывающими признаки сформированности  информационной компетенции, например, октантом «Умение применять полученную информацию для решения профессиональных задач»;</w:t>
      </w: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lastRenderedPageBreak/>
        <w:t>- снизить число дескрипторов индикаторов до 4, исключив дескриптор 2 «затрудняюсь ответить»;</w:t>
      </w:r>
    </w:p>
    <w:p w:rsidR="008032FB" w:rsidRPr="00A170BB" w:rsidRDefault="008032FB" w:rsidP="008032FB">
      <w:pPr>
        <w:ind w:firstLine="708"/>
        <w:rPr>
          <w:szCs w:val="28"/>
        </w:rPr>
      </w:pPr>
      <w:r w:rsidRPr="00A170BB">
        <w:rPr>
          <w:szCs w:val="28"/>
        </w:rPr>
        <w:t xml:space="preserve">- за счёт добавления индикаторов с </w:t>
      </w:r>
      <w:r w:rsidRPr="00A170BB">
        <w:rPr>
          <w:position w:val="-16"/>
          <w:szCs w:val="28"/>
        </w:rPr>
        <w:object w:dxaOrig="1579" w:dyaOrig="420">
          <v:shape id="_x0000_i1050" type="#_x0000_t75" style="width:78.8pt;height:21.2pt" o:ole="">
            <v:imagedata r:id="rId54" o:title=""/>
          </v:shape>
          <o:OLEObject Type="Embed" ProgID="Equation.3" ShapeID="_x0000_i1050" DrawAspect="Content" ObjectID="_1477757719" r:id="rId55"/>
        </w:object>
      </w:r>
      <w:r w:rsidRPr="00A170BB">
        <w:rPr>
          <w:szCs w:val="28"/>
        </w:rPr>
        <w:t xml:space="preserve"> логит увеличить их число до 30 и более.</w:t>
      </w:r>
    </w:p>
    <w:p w:rsidR="008032FB" w:rsidRPr="00A170BB" w:rsidRDefault="008032FB" w:rsidP="008032FB">
      <w:pPr>
        <w:jc w:val="center"/>
        <w:rPr>
          <w:b/>
          <w:bCs/>
          <w:szCs w:val="28"/>
        </w:rPr>
      </w:pPr>
      <w:r w:rsidRPr="00A170BB">
        <w:rPr>
          <w:b/>
          <w:bCs/>
          <w:szCs w:val="28"/>
        </w:rPr>
        <w:t>Литература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>Елисеев И.Н. Диагностика индивидуальных свойств личности в студенческой среде на основе модели Раша // Стандарты и мониторинг в образовании. 2009. № 3. С. 35-38.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A170BB">
        <w:rPr>
          <w:sz w:val="28"/>
          <w:szCs w:val="28"/>
        </w:rPr>
        <w:t>Елисеев И.Н. Оценка уровня подготовленности выпускников колледжа на основе измерения качества квалификационных работ // Стандарты и мониторинг в образовании. 2010. № 1.  С. 47-49.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A170BB">
        <w:rPr>
          <w:sz w:val="28"/>
          <w:szCs w:val="28"/>
        </w:rPr>
        <w:t>Елисеев, И.Н. Методы, алгоритмы и программные комплексы для расчёта характеристик диагностических средств независимой оценки качества образования. Новочеркасск: Лик, 2013. 285</w:t>
      </w:r>
      <w:r w:rsidRPr="00A170BB">
        <w:rPr>
          <w:sz w:val="28"/>
          <w:szCs w:val="28"/>
          <w:lang w:val="en-US"/>
        </w:rPr>
        <w:t xml:space="preserve"> c</w:t>
      </w:r>
      <w:r w:rsidRPr="00A170BB">
        <w:rPr>
          <w:sz w:val="28"/>
          <w:szCs w:val="28"/>
        </w:rPr>
        <w:t>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 xml:space="preserve">Свечкарев, В.П. Интеграция имитационных моделей при проведении исследований в гуманитарной сфере // «Инженерный вестник Дона», 2010, №3 </w:t>
      </w:r>
      <w:r w:rsidRPr="00A170BB">
        <w:rPr>
          <w:lang w:val="en-US"/>
        </w:rPr>
        <w:t>URL</w:t>
      </w:r>
      <w:r w:rsidRPr="00A170BB">
        <w:rPr>
          <w:sz w:val="28"/>
          <w:szCs w:val="28"/>
        </w:rPr>
        <w:t>: ivdon.ru/magazine/archive/n3y2010/213/.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 xml:space="preserve">Мощенко, И.Н. Имитационное моделирование этнополитической ситуации ЮГА РОССИИ на основе теории динамических систем // «Инженерный вестник Дона», 2010, №3 </w:t>
      </w:r>
      <w:r w:rsidRPr="00A170BB">
        <w:rPr>
          <w:lang w:val="en-US"/>
        </w:rPr>
        <w:t>URL</w:t>
      </w:r>
      <w:r w:rsidRPr="00A170BB">
        <w:t xml:space="preserve">: </w:t>
      </w:r>
      <w:r w:rsidRPr="00A170BB">
        <w:rPr>
          <w:sz w:val="28"/>
          <w:szCs w:val="28"/>
        </w:rPr>
        <w:t>ivdon.ru/magazine/archive/n3y2010/216/.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Rasch G. Probabilistic models for some intelligence and attainment tests (Expanded edition, with foreword and afterword by Benjamin D. Wright).Chicago: University of Chicago Press, 1980. 199 p.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Wright, B.S., Masters, G.N. Rating Scale Analysis: Rasch Measurement, Chicago, MESA Press, 1982. 206p.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lastRenderedPageBreak/>
        <w:t xml:space="preserve">. </w:t>
      </w:r>
      <w:r w:rsidRPr="00A170BB">
        <w:rPr>
          <w:spacing w:val="4"/>
          <w:sz w:val="28"/>
          <w:szCs w:val="28"/>
          <w:lang w:val="en-US"/>
        </w:rPr>
        <w:t>Andrich D. Advanced Social and Educational Measurement. – Perth: Murdoch University, 2001. 128 p.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>Елисеев, И.Н. Методология оценки уровня компетенций студента / И.Н. Елисеев // Информатика и образование.  2012.  №4.  С. 80-85.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 xml:space="preserve">Ларина Т.Н., Елисеев И.Н. Оценка уровня компетенции студента на основе модели Раша // «Инженерный вестник Дона», 2012, №4 (часть 1)  </w:t>
      </w:r>
      <w:r w:rsidRPr="00A170BB">
        <w:rPr>
          <w:sz w:val="28"/>
          <w:szCs w:val="28"/>
          <w:lang w:val="en-US"/>
        </w:rPr>
        <w:t>URL</w:t>
      </w:r>
      <w:r w:rsidRPr="00A170BB">
        <w:rPr>
          <w:sz w:val="28"/>
          <w:szCs w:val="28"/>
        </w:rPr>
        <w:t>:  ivdon.ru/magazine/archive/n4p1y2012/1093/.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 xml:space="preserve"> И.Н. Елисеев, И.И. Елисеев, Т.Н.Ларина, Н.В. Кривошеев Оценка коммуникативных компетенций студентов на основе политомических моделей // «Инженерный вестник Дона», 2014, №1 (часть 1) </w:t>
      </w:r>
      <w:r w:rsidRPr="00A170BB">
        <w:rPr>
          <w:sz w:val="28"/>
          <w:szCs w:val="28"/>
          <w:lang w:val="en-US"/>
        </w:rPr>
        <w:t>URL</w:t>
      </w:r>
      <w:r w:rsidRPr="00A170BB">
        <w:rPr>
          <w:sz w:val="28"/>
          <w:szCs w:val="28"/>
        </w:rPr>
        <w:t>: ivdon.ru/magazine/archive/n1y2014/2302/.</w:t>
      </w:r>
    </w:p>
    <w:p w:rsidR="008032FB" w:rsidRPr="00A170BB" w:rsidRDefault="008032FB" w:rsidP="008032FB">
      <w:pPr>
        <w:pStyle w:val="a3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  <w:lang w:eastAsia="ar-SA"/>
        </w:rPr>
        <w:t>Маслак А.А. Измерение латентных переменных в социальных системах:</w:t>
      </w:r>
      <w:r w:rsidRPr="00A170BB">
        <w:rPr>
          <w:sz w:val="28"/>
          <w:szCs w:val="28"/>
        </w:rPr>
        <w:t>: монография / А.А. Маслак. - Славянск-на-Кубани</w:t>
      </w:r>
      <w:r w:rsidRPr="00A170BB">
        <w:rPr>
          <w:sz w:val="28"/>
          <w:szCs w:val="28"/>
          <w:lang w:eastAsia="ar-SA"/>
        </w:rPr>
        <w:t xml:space="preserve">  Издательский   центр  КубГУ, 2012. – 432с.</w:t>
      </w:r>
    </w:p>
    <w:p w:rsidR="008032FB" w:rsidRPr="00A170BB" w:rsidRDefault="008032FB" w:rsidP="008032FB">
      <w:pPr>
        <w:pStyle w:val="11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>Психологические тесты онлайн</w:t>
      </w:r>
      <w:r w:rsidRPr="00A170BB">
        <w:t xml:space="preserve"> // </w:t>
      </w:r>
      <w:r w:rsidRPr="00A170BB">
        <w:rPr>
          <w:sz w:val="28"/>
          <w:szCs w:val="28"/>
          <w:lang w:val="en-US"/>
        </w:rPr>
        <w:t>URL</w:t>
      </w:r>
      <w:r w:rsidRPr="00A170BB">
        <w:rPr>
          <w:sz w:val="28"/>
          <w:szCs w:val="28"/>
        </w:rPr>
        <w:t>:psytest.info.  (Дата обращения  02</w:t>
      </w:r>
      <w:r w:rsidRPr="005F65AF">
        <w:rPr>
          <w:sz w:val="28"/>
          <w:szCs w:val="28"/>
        </w:rPr>
        <w:t>/</w:t>
      </w:r>
      <w:r w:rsidRPr="00A170BB">
        <w:rPr>
          <w:sz w:val="28"/>
          <w:szCs w:val="28"/>
        </w:rPr>
        <w:t>12</w:t>
      </w:r>
      <w:r w:rsidRPr="005F65AF">
        <w:rPr>
          <w:sz w:val="28"/>
          <w:szCs w:val="28"/>
        </w:rPr>
        <w:t>/</w:t>
      </w:r>
      <w:r w:rsidRPr="00A170BB">
        <w:rPr>
          <w:sz w:val="28"/>
          <w:szCs w:val="28"/>
        </w:rPr>
        <w:t>11).</w:t>
      </w:r>
    </w:p>
    <w:p w:rsidR="008032FB" w:rsidRPr="00A170BB" w:rsidRDefault="008032FB" w:rsidP="008032FB">
      <w:pPr>
        <w:pStyle w:val="11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>Елисеев И.Н. Экспертиза качества тестов по электротехническим дисциплинам // Известия высших учебных заведений. Электромеханика. 2011. №2. С. 75-80.</w:t>
      </w:r>
    </w:p>
    <w:p w:rsidR="008032FB" w:rsidRPr="00A170BB" w:rsidRDefault="008032FB" w:rsidP="008032FB">
      <w:pPr>
        <w:pStyle w:val="11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sz w:val="28"/>
          <w:szCs w:val="28"/>
        </w:rPr>
        <w:t xml:space="preserve">Руководство пользователя диалоговой системой </w:t>
      </w:r>
      <w:r w:rsidRPr="00A170BB">
        <w:rPr>
          <w:sz w:val="28"/>
          <w:szCs w:val="28"/>
          <w:lang w:val="en-AU"/>
        </w:rPr>
        <w:t>RUMM</w:t>
      </w:r>
      <w:r w:rsidRPr="00A170BB">
        <w:rPr>
          <w:sz w:val="28"/>
          <w:szCs w:val="28"/>
        </w:rPr>
        <w:t xml:space="preserve"> 2030 //</w:t>
      </w:r>
      <w:r w:rsidRPr="00A170BB">
        <w:rPr>
          <w:sz w:val="28"/>
          <w:szCs w:val="28"/>
          <w:lang w:val="en-US"/>
        </w:rPr>
        <w:t>RUMM</w:t>
      </w:r>
      <w:r w:rsidRPr="00A170BB">
        <w:rPr>
          <w:sz w:val="28"/>
          <w:szCs w:val="28"/>
        </w:rPr>
        <w:t xml:space="preserve"> </w:t>
      </w:r>
      <w:r w:rsidRPr="00A170BB">
        <w:rPr>
          <w:sz w:val="28"/>
          <w:szCs w:val="28"/>
          <w:lang w:val="en-US"/>
        </w:rPr>
        <w:t>Laboratory</w:t>
      </w:r>
      <w:r w:rsidRPr="00A170BB">
        <w:rPr>
          <w:sz w:val="28"/>
          <w:szCs w:val="28"/>
        </w:rPr>
        <w:t xml:space="preserve"> </w:t>
      </w:r>
      <w:r w:rsidRPr="00A170BB">
        <w:rPr>
          <w:sz w:val="28"/>
          <w:szCs w:val="28"/>
          <w:lang w:val="en-US"/>
        </w:rPr>
        <w:t>Pty</w:t>
      </w:r>
      <w:r w:rsidRPr="00A170BB">
        <w:rPr>
          <w:sz w:val="28"/>
          <w:szCs w:val="28"/>
        </w:rPr>
        <w:t xml:space="preserve"> </w:t>
      </w:r>
      <w:r w:rsidRPr="00A170BB">
        <w:rPr>
          <w:sz w:val="28"/>
          <w:szCs w:val="28"/>
          <w:lang w:val="en-US"/>
        </w:rPr>
        <w:t>Ltd</w:t>
      </w:r>
      <w:r w:rsidRPr="00A170BB">
        <w:rPr>
          <w:sz w:val="28"/>
          <w:szCs w:val="28"/>
        </w:rPr>
        <w:t xml:space="preserve">, 2010. </w:t>
      </w:r>
      <w:r w:rsidRPr="00A170BB">
        <w:rPr>
          <w:sz w:val="28"/>
          <w:szCs w:val="28"/>
          <w:lang w:val="en-US"/>
        </w:rPr>
        <w:t>URL</w:t>
      </w:r>
      <w:r w:rsidRPr="00600F4D">
        <w:rPr>
          <w:sz w:val="28"/>
          <w:szCs w:val="28"/>
        </w:rPr>
        <w:t xml:space="preserve">: </w:t>
      </w:r>
      <w:r w:rsidRPr="005F65AF">
        <w:rPr>
          <w:sz w:val="28"/>
          <w:szCs w:val="28"/>
          <w:lang w:val="en-US"/>
        </w:rPr>
        <w:t>rummlab</w:t>
      </w:r>
      <w:r w:rsidRPr="005F65AF">
        <w:rPr>
          <w:sz w:val="28"/>
          <w:szCs w:val="28"/>
        </w:rPr>
        <w:t>.</w:t>
      </w:r>
      <w:r w:rsidRPr="005F65AF">
        <w:rPr>
          <w:sz w:val="28"/>
          <w:szCs w:val="28"/>
          <w:lang w:val="en-US"/>
        </w:rPr>
        <w:t>com</w:t>
      </w:r>
      <w:r w:rsidRPr="005F65AF">
        <w:rPr>
          <w:sz w:val="28"/>
          <w:szCs w:val="28"/>
        </w:rPr>
        <w:t>.</w:t>
      </w:r>
      <w:r w:rsidRPr="005F65AF">
        <w:rPr>
          <w:sz w:val="28"/>
          <w:szCs w:val="28"/>
          <w:lang w:val="en-US"/>
        </w:rPr>
        <w:t>au</w:t>
      </w:r>
      <w:r w:rsidRPr="005F65AF">
        <w:rPr>
          <w:sz w:val="28"/>
          <w:szCs w:val="28"/>
        </w:rPr>
        <w:t>/</w:t>
      </w:r>
      <w:r w:rsidRPr="005F65AF">
        <w:rPr>
          <w:sz w:val="28"/>
          <w:szCs w:val="28"/>
          <w:lang w:val="en-US"/>
        </w:rPr>
        <w:t>demo</w:t>
      </w:r>
      <w:r w:rsidRPr="005F65AF">
        <w:rPr>
          <w:sz w:val="28"/>
          <w:szCs w:val="28"/>
        </w:rPr>
        <w:t>/</w:t>
      </w:r>
      <w:r w:rsidRPr="005F65AF">
        <w:rPr>
          <w:sz w:val="28"/>
          <w:szCs w:val="28"/>
          <w:lang w:val="en-US"/>
        </w:rPr>
        <w:t>marmgetstart</w:t>
      </w:r>
      <w:r w:rsidRPr="005F65AF">
        <w:rPr>
          <w:sz w:val="28"/>
          <w:szCs w:val="28"/>
        </w:rPr>
        <w:t>.</w:t>
      </w:r>
      <w:r w:rsidRPr="005F65AF">
        <w:rPr>
          <w:sz w:val="28"/>
          <w:szCs w:val="28"/>
          <w:lang w:val="en-US"/>
        </w:rPr>
        <w:t>pdf</w:t>
      </w:r>
      <w:r w:rsidRPr="00600F4D">
        <w:rPr>
          <w:sz w:val="28"/>
          <w:szCs w:val="28"/>
        </w:rPr>
        <w:t>.</w:t>
      </w:r>
      <w:r w:rsidRPr="00A170BB">
        <w:rPr>
          <w:sz w:val="28"/>
          <w:szCs w:val="28"/>
        </w:rPr>
        <w:t xml:space="preserve"> (Дата обращения 18</w:t>
      </w:r>
      <w:r w:rsidRPr="00A170BB">
        <w:rPr>
          <w:sz w:val="28"/>
          <w:szCs w:val="28"/>
          <w:lang w:val="en-US"/>
        </w:rPr>
        <w:t>/</w:t>
      </w:r>
      <w:r w:rsidRPr="00A170BB">
        <w:rPr>
          <w:sz w:val="28"/>
          <w:szCs w:val="28"/>
        </w:rPr>
        <w:t>04</w:t>
      </w:r>
      <w:r w:rsidRPr="00A170BB">
        <w:rPr>
          <w:sz w:val="28"/>
          <w:szCs w:val="28"/>
          <w:lang w:val="en-US"/>
        </w:rPr>
        <w:t>/</w:t>
      </w:r>
      <w:r w:rsidRPr="00A170BB">
        <w:rPr>
          <w:sz w:val="28"/>
          <w:szCs w:val="28"/>
        </w:rPr>
        <w:t>10).</w:t>
      </w:r>
    </w:p>
    <w:p w:rsidR="008032FB" w:rsidRPr="00A170BB" w:rsidRDefault="008032FB" w:rsidP="008032FB">
      <w:pPr>
        <w:pStyle w:val="11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170BB">
        <w:rPr>
          <w:kern w:val="36"/>
          <w:sz w:val="28"/>
          <w:szCs w:val="28"/>
        </w:rPr>
        <w:t xml:space="preserve">Елисеев, И.Н. </w:t>
      </w:r>
      <w:r w:rsidRPr="00A170BB">
        <w:rPr>
          <w:sz w:val="28"/>
          <w:szCs w:val="28"/>
        </w:rPr>
        <w:t>Модель дихотомической матрицы результатов тестирования / И.Н. Елисеев // Программные про</w:t>
      </w:r>
      <w:r>
        <w:rPr>
          <w:sz w:val="28"/>
          <w:szCs w:val="28"/>
        </w:rPr>
        <w:t xml:space="preserve">дукты и системы. - 2011. - №3. </w:t>
      </w:r>
      <w:r w:rsidRPr="00A170BB">
        <w:rPr>
          <w:sz w:val="28"/>
          <w:szCs w:val="28"/>
        </w:rPr>
        <w:t xml:space="preserve"> С. 80-86.</w:t>
      </w:r>
    </w:p>
    <w:p w:rsidR="008032FB" w:rsidRPr="00A170BB" w:rsidRDefault="008032FB" w:rsidP="008032FB">
      <w:pPr>
        <w:pStyle w:val="a9"/>
        <w:ind w:left="989"/>
        <w:rPr>
          <w:color w:val="auto"/>
        </w:rPr>
      </w:pPr>
      <w:r w:rsidRPr="00A170BB">
        <w:rPr>
          <w:color w:val="auto"/>
          <w:lang w:val="en-US"/>
        </w:rPr>
        <w:t>References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Eliseev I.N.  Standarty i monitoring v obrazovanii. 2009. № 3. pp. 35-38.</w:t>
      </w:r>
    </w:p>
    <w:p w:rsidR="008032FB" w:rsidRPr="005F65AF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lastRenderedPageBreak/>
        <w:t xml:space="preserve">Eliseev I.N. Standarty i monitoring v obrazovanii. </w:t>
      </w:r>
      <w:r w:rsidRPr="005F65AF">
        <w:rPr>
          <w:sz w:val="28"/>
          <w:szCs w:val="28"/>
          <w:lang w:val="en-US"/>
        </w:rPr>
        <w:t xml:space="preserve">2010. № 1.  </w:t>
      </w:r>
      <w:r w:rsidRPr="00A170BB">
        <w:rPr>
          <w:sz w:val="28"/>
          <w:szCs w:val="28"/>
          <w:lang w:val="en-US"/>
        </w:rPr>
        <w:t>pp</w:t>
      </w:r>
      <w:r w:rsidRPr="005F65AF">
        <w:rPr>
          <w:sz w:val="28"/>
          <w:szCs w:val="28"/>
          <w:lang w:val="en-US"/>
        </w:rPr>
        <w:t>. 47-49.</w:t>
      </w:r>
    </w:p>
    <w:p w:rsidR="008032FB" w:rsidRPr="00A43B77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 xml:space="preserve">Eliseev, I.N. Metody, algoritmy i programmnye kompleksy dlya rascheta </w:t>
      </w:r>
    </w:p>
    <w:p w:rsidR="008032FB" w:rsidRPr="008032FB" w:rsidRDefault="008032FB" w:rsidP="008032FB">
      <w:pPr>
        <w:pStyle w:val="af5"/>
        <w:spacing w:line="360" w:lineRule="auto"/>
        <w:ind w:left="0"/>
        <w:rPr>
          <w:rStyle w:val="hps"/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 xml:space="preserve">kharakteristik diagnosticheskikh sredstv nezavisimoy otsenki kachestva obrazovaniya </w:t>
      </w:r>
      <w:r w:rsidRPr="008032FB">
        <w:rPr>
          <w:sz w:val="28"/>
          <w:szCs w:val="28"/>
          <w:lang w:val="en-US"/>
        </w:rPr>
        <w:t xml:space="preserve">[ </w:t>
      </w:r>
      <w:r w:rsidRPr="005F65AF">
        <w:rPr>
          <w:rStyle w:val="hps"/>
          <w:sz w:val="28"/>
          <w:szCs w:val="28"/>
          <w:lang w:val="en-US"/>
        </w:rPr>
        <w:t>Methods, algorithms and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program complexes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for the calculation of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the characteristics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of an independent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diagnostic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assessment of the quality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 xml:space="preserve">of </w:t>
      </w:r>
    </w:p>
    <w:p w:rsidR="008032FB" w:rsidRPr="00A170BB" w:rsidRDefault="008032FB" w:rsidP="008032FB">
      <w:pPr>
        <w:pStyle w:val="af5"/>
        <w:spacing w:line="360" w:lineRule="auto"/>
        <w:ind w:left="0"/>
        <w:rPr>
          <w:sz w:val="28"/>
          <w:szCs w:val="28"/>
        </w:rPr>
      </w:pPr>
      <w:r w:rsidRPr="00600F4D">
        <w:rPr>
          <w:rStyle w:val="hps"/>
          <w:sz w:val="28"/>
          <w:szCs w:val="28"/>
        </w:rPr>
        <w:t>education</w:t>
      </w:r>
      <w:r w:rsidRPr="00A170BB">
        <w:rPr>
          <w:sz w:val="28"/>
          <w:szCs w:val="28"/>
          <w:lang w:val="en-US"/>
        </w:rPr>
        <w:t xml:space="preserve">]. </w:t>
      </w:r>
      <w:r>
        <w:rPr>
          <w:sz w:val="28"/>
          <w:szCs w:val="28"/>
          <w:lang w:val="en-US"/>
        </w:rPr>
        <w:t xml:space="preserve"> </w:t>
      </w:r>
      <w:r w:rsidRPr="00A170BB">
        <w:rPr>
          <w:sz w:val="28"/>
          <w:szCs w:val="28"/>
        </w:rPr>
        <w:t>Novocherkassk: Lik, 2013. 285</w:t>
      </w:r>
      <w:r w:rsidRPr="00A170BB">
        <w:rPr>
          <w:sz w:val="28"/>
          <w:szCs w:val="28"/>
          <w:lang w:val="en-US"/>
        </w:rPr>
        <w:t>p</w:t>
      </w:r>
      <w:r w:rsidRPr="00A170BB">
        <w:rPr>
          <w:sz w:val="28"/>
          <w:szCs w:val="28"/>
        </w:rPr>
        <w:t>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A170BB">
        <w:rPr>
          <w:sz w:val="28"/>
          <w:szCs w:val="28"/>
        </w:rPr>
        <w:t xml:space="preserve">Svechkarev, V.P.  </w:t>
      </w:r>
      <w:r w:rsidRPr="00A170BB">
        <w:rPr>
          <w:sz w:val="28"/>
          <w:szCs w:val="28"/>
          <w:lang w:val="en-US"/>
        </w:rPr>
        <w:t>In</w:t>
      </w:r>
      <w:r w:rsidRPr="00A170BB">
        <w:rPr>
          <w:sz w:val="28"/>
          <w:szCs w:val="28"/>
        </w:rPr>
        <w:t>ž</w:t>
      </w:r>
      <w:r w:rsidRPr="00A170BB">
        <w:rPr>
          <w:sz w:val="28"/>
          <w:szCs w:val="28"/>
          <w:lang w:val="en-US"/>
        </w:rPr>
        <w:t>enernyj</w:t>
      </w:r>
      <w:r w:rsidRPr="00A170BB">
        <w:rPr>
          <w:sz w:val="28"/>
          <w:szCs w:val="28"/>
        </w:rPr>
        <w:t xml:space="preserve"> </w:t>
      </w:r>
      <w:r w:rsidRPr="00A170BB">
        <w:rPr>
          <w:sz w:val="28"/>
          <w:szCs w:val="28"/>
          <w:lang w:val="en-US"/>
        </w:rPr>
        <w:t>vestnik</w:t>
      </w:r>
      <w:r w:rsidRPr="00A170BB">
        <w:rPr>
          <w:sz w:val="28"/>
          <w:szCs w:val="28"/>
        </w:rPr>
        <w:t xml:space="preserve">   </w:t>
      </w:r>
      <w:r w:rsidRPr="00A170BB">
        <w:rPr>
          <w:sz w:val="28"/>
          <w:szCs w:val="28"/>
          <w:lang w:val="en-US"/>
        </w:rPr>
        <w:t>Dona</w:t>
      </w:r>
      <w:r w:rsidRPr="00A170BB">
        <w:rPr>
          <w:sz w:val="28"/>
          <w:szCs w:val="28"/>
        </w:rPr>
        <w:t xml:space="preserve"> (</w:t>
      </w:r>
      <w:r w:rsidRPr="00A170BB">
        <w:rPr>
          <w:sz w:val="28"/>
          <w:szCs w:val="28"/>
          <w:lang w:val="en-US"/>
        </w:rPr>
        <w:t>Rus</w:t>
      </w:r>
      <w:r w:rsidRPr="00A170BB">
        <w:rPr>
          <w:sz w:val="28"/>
          <w:szCs w:val="28"/>
        </w:rPr>
        <w:t>)</w:t>
      </w:r>
      <w:r w:rsidR="005F65AF" w:rsidRPr="00A170BB">
        <w:rPr>
          <w:sz w:val="28"/>
          <w:szCs w:val="28"/>
        </w:rPr>
        <w:t>, 2010, №3 URL</w:t>
      </w:r>
      <w:r w:rsidRPr="00A170BB">
        <w:rPr>
          <w:sz w:val="28"/>
          <w:szCs w:val="28"/>
        </w:rPr>
        <w:t>: ivdon.ru/magazine/archive/n3y2010/213/.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A170BB">
        <w:rPr>
          <w:sz w:val="28"/>
          <w:szCs w:val="28"/>
        </w:rPr>
        <w:t xml:space="preserve">Moshchenko, I.N. </w:t>
      </w:r>
      <w:r w:rsidRPr="00A170BB">
        <w:rPr>
          <w:sz w:val="28"/>
          <w:szCs w:val="28"/>
          <w:lang w:val="en-US"/>
        </w:rPr>
        <w:t>In</w:t>
      </w:r>
      <w:r w:rsidRPr="00A170BB">
        <w:rPr>
          <w:sz w:val="28"/>
          <w:szCs w:val="28"/>
        </w:rPr>
        <w:t>ž</w:t>
      </w:r>
      <w:r w:rsidRPr="00A170BB">
        <w:rPr>
          <w:sz w:val="28"/>
          <w:szCs w:val="28"/>
          <w:lang w:val="en-US"/>
        </w:rPr>
        <w:t>enernyj</w:t>
      </w:r>
      <w:r w:rsidRPr="00A170BB">
        <w:rPr>
          <w:sz w:val="28"/>
          <w:szCs w:val="28"/>
        </w:rPr>
        <w:t xml:space="preserve"> </w:t>
      </w:r>
      <w:r w:rsidRPr="00A170BB">
        <w:rPr>
          <w:sz w:val="28"/>
          <w:szCs w:val="28"/>
          <w:lang w:val="en-US"/>
        </w:rPr>
        <w:t>vestnik</w:t>
      </w:r>
      <w:r w:rsidRPr="00A170BB">
        <w:rPr>
          <w:sz w:val="28"/>
          <w:szCs w:val="28"/>
        </w:rPr>
        <w:t xml:space="preserve">   </w:t>
      </w:r>
      <w:r w:rsidR="005F65AF" w:rsidRPr="00A170BB">
        <w:rPr>
          <w:sz w:val="28"/>
          <w:szCs w:val="28"/>
          <w:lang w:val="en-US"/>
        </w:rPr>
        <w:t>Dona</w:t>
      </w:r>
      <w:r w:rsidR="005F65AF" w:rsidRPr="00A170BB">
        <w:rPr>
          <w:sz w:val="28"/>
          <w:szCs w:val="28"/>
        </w:rPr>
        <w:t xml:space="preserve"> (</w:t>
      </w:r>
      <w:r w:rsidRPr="00A170BB">
        <w:rPr>
          <w:sz w:val="28"/>
          <w:szCs w:val="28"/>
          <w:lang w:val="en-US"/>
        </w:rPr>
        <w:t>Rus</w:t>
      </w:r>
      <w:r w:rsidRPr="00A170BB">
        <w:rPr>
          <w:sz w:val="28"/>
          <w:szCs w:val="28"/>
        </w:rPr>
        <w:t>)</w:t>
      </w:r>
      <w:r w:rsidR="005F65AF" w:rsidRPr="00A170BB">
        <w:rPr>
          <w:sz w:val="28"/>
          <w:szCs w:val="28"/>
        </w:rPr>
        <w:t>, 2010, №</w:t>
      </w:r>
      <w:r w:rsidRPr="00A170BB">
        <w:rPr>
          <w:sz w:val="28"/>
          <w:szCs w:val="28"/>
        </w:rPr>
        <w:t>3 URL: ivdon.ru/magazine/archive/n3y2010/216/.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Rasch G. Probabilistic models for some intelligence and attainment tests (Expanded edition, with foreword and afterword by Benjamin D. Wright).Chicago: University of Chicago Press, 1980. 199 p.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A170BB">
        <w:rPr>
          <w:sz w:val="28"/>
          <w:szCs w:val="28"/>
          <w:lang w:val="en-US"/>
        </w:rPr>
        <w:t>Wright, B.S., Masters, G.N. Rating Scale Analysis: Rasch Measurement, Chicago, MESA Press, 1982.</w:t>
      </w:r>
      <w:r>
        <w:rPr>
          <w:sz w:val="28"/>
          <w:szCs w:val="28"/>
          <w:lang w:val="en-US"/>
        </w:rPr>
        <w:t xml:space="preserve"> </w:t>
      </w:r>
      <w:r w:rsidRPr="00A170BB">
        <w:rPr>
          <w:sz w:val="28"/>
          <w:szCs w:val="28"/>
          <w:lang w:val="en-US"/>
        </w:rPr>
        <w:t xml:space="preserve"> </w:t>
      </w:r>
      <w:r w:rsidRPr="00A170BB">
        <w:rPr>
          <w:sz w:val="28"/>
          <w:szCs w:val="28"/>
        </w:rPr>
        <w:t>206</w:t>
      </w:r>
      <w:r w:rsidRPr="00A170BB">
        <w:rPr>
          <w:sz w:val="28"/>
          <w:szCs w:val="28"/>
          <w:lang w:val="en-US"/>
        </w:rPr>
        <w:t xml:space="preserve"> </w:t>
      </w:r>
      <w:r w:rsidRPr="00A170BB">
        <w:rPr>
          <w:sz w:val="28"/>
          <w:szCs w:val="28"/>
        </w:rPr>
        <w:t>p.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</w:rPr>
      </w:pPr>
      <w:r w:rsidRPr="00A170BB">
        <w:rPr>
          <w:sz w:val="28"/>
          <w:szCs w:val="28"/>
          <w:lang w:val="en-US"/>
        </w:rPr>
        <w:t xml:space="preserve">Andrich D. Advanced Social and Educational Measurement. – Perth: Murdoch University, 2001. </w:t>
      </w:r>
      <w:r w:rsidRPr="00A170BB">
        <w:rPr>
          <w:sz w:val="28"/>
          <w:szCs w:val="28"/>
        </w:rPr>
        <w:t>128 p.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Eliseev, I.N.  Informatika i obrazovanie.  2012.  №4.  pp. 80-85.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 xml:space="preserve">Larina T.N., Eliseev </w:t>
      </w:r>
      <w:r w:rsidR="005F65AF" w:rsidRPr="00A170BB">
        <w:rPr>
          <w:sz w:val="28"/>
          <w:szCs w:val="28"/>
          <w:lang w:val="en-US"/>
        </w:rPr>
        <w:t>I.N Inženernyj</w:t>
      </w:r>
      <w:r w:rsidRPr="00A170BB">
        <w:rPr>
          <w:sz w:val="28"/>
          <w:szCs w:val="28"/>
          <w:lang w:val="en-US"/>
        </w:rPr>
        <w:t xml:space="preserve"> vestnik   </w:t>
      </w:r>
      <w:r w:rsidR="005F65AF" w:rsidRPr="00A170BB">
        <w:rPr>
          <w:sz w:val="28"/>
          <w:szCs w:val="28"/>
          <w:lang w:val="en-US"/>
        </w:rPr>
        <w:t>Dona (</w:t>
      </w:r>
      <w:r w:rsidRPr="00A170BB">
        <w:rPr>
          <w:sz w:val="28"/>
          <w:szCs w:val="28"/>
          <w:lang w:val="en-US"/>
        </w:rPr>
        <w:t>Rus)</w:t>
      </w:r>
      <w:r w:rsidR="005F65AF" w:rsidRPr="00A170BB">
        <w:rPr>
          <w:sz w:val="28"/>
          <w:szCs w:val="28"/>
          <w:lang w:val="en-US"/>
        </w:rPr>
        <w:t>, 2012</w:t>
      </w:r>
      <w:r w:rsidRPr="00A170BB">
        <w:rPr>
          <w:sz w:val="28"/>
          <w:szCs w:val="28"/>
          <w:lang w:val="en-US"/>
        </w:rPr>
        <w:t>, №4 (chast' 1</w:t>
      </w:r>
      <w:r w:rsidR="005F65AF" w:rsidRPr="00A170BB">
        <w:rPr>
          <w:sz w:val="28"/>
          <w:szCs w:val="28"/>
          <w:lang w:val="en-US"/>
        </w:rPr>
        <w:t>) URL</w:t>
      </w:r>
      <w:r w:rsidRPr="00A170BB">
        <w:rPr>
          <w:sz w:val="28"/>
          <w:szCs w:val="28"/>
          <w:lang w:val="en-US"/>
        </w:rPr>
        <w:t>:  ivdon.ru/magazine/archive/n4p1y2012/1093/.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I.N. Eliseev, I.I. Eliseev, T.N.Larina, N.V. Krivosheev  Inženernyj vestnik   Dona (Rus),  2014, №1 (chast' 1) URL: ivdon.ru/magazine/archive/n1y2014/2302/.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Maslak A.A. Izmerenie latentnykh peremennykh v sotsial'nykh sistemakh</w:t>
      </w:r>
    </w:p>
    <w:p w:rsidR="008032FB" w:rsidRPr="00A170BB" w:rsidRDefault="008032FB" w:rsidP="008032FB">
      <w:pPr>
        <w:pStyle w:val="af5"/>
        <w:spacing w:line="360" w:lineRule="auto"/>
        <w:ind w:left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 xml:space="preserve"> [</w:t>
      </w:r>
      <w:r w:rsidRPr="005F65AF">
        <w:rPr>
          <w:rStyle w:val="hps"/>
          <w:sz w:val="28"/>
          <w:szCs w:val="28"/>
          <w:lang w:val="en-US"/>
        </w:rPr>
        <w:t>The measurement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of latent variables</w:t>
      </w:r>
      <w:r w:rsidRPr="005F65AF">
        <w:rPr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in social systems].</w:t>
      </w:r>
      <w:r w:rsidRPr="005F65AF">
        <w:rPr>
          <w:rStyle w:val="hps"/>
          <w:lang w:val="en-US"/>
        </w:rPr>
        <w:t xml:space="preserve"> </w:t>
      </w:r>
      <w:r w:rsidRPr="00A170BB">
        <w:rPr>
          <w:sz w:val="28"/>
          <w:szCs w:val="28"/>
          <w:lang w:val="en-US"/>
        </w:rPr>
        <w:t xml:space="preserve"> Slavyansk-na-Kubani:  Izdatel'skiy   tsentr  KubGU, 2012.  432 p.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Psikhologicheskie testy onlayn [</w:t>
      </w:r>
      <w:r w:rsidRPr="005F65AF">
        <w:rPr>
          <w:rStyle w:val="hps"/>
          <w:sz w:val="28"/>
          <w:szCs w:val="28"/>
          <w:lang w:val="en-US"/>
        </w:rPr>
        <w:t>Psychological tests</w:t>
      </w:r>
      <w:r w:rsidRPr="005F65AF">
        <w:rPr>
          <w:rStyle w:val="shorttext"/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online</w:t>
      </w:r>
      <w:r w:rsidRPr="00A170BB">
        <w:rPr>
          <w:sz w:val="28"/>
          <w:szCs w:val="28"/>
          <w:lang w:val="en-US"/>
        </w:rPr>
        <w:t xml:space="preserve"> ] URL:psytest.info.  (accessed 02/12/11).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lastRenderedPageBreak/>
        <w:t>Eliseev I.N.  Izvestiya vysshikh uchebnykh zavedeniy. Elektromekhanika. 2011. №2. pp. 75-80.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 xml:space="preserve">Rukovodstvo pol'zovatelya dialogovoy sistemoy RUMM </w:t>
      </w:r>
      <w:r w:rsidR="005F65AF" w:rsidRPr="00A170BB">
        <w:rPr>
          <w:sz w:val="28"/>
          <w:szCs w:val="28"/>
          <w:lang w:val="en-US"/>
        </w:rPr>
        <w:t>2030 [</w:t>
      </w:r>
      <w:r w:rsidRPr="005F65AF">
        <w:rPr>
          <w:rStyle w:val="hps"/>
          <w:sz w:val="28"/>
          <w:szCs w:val="28"/>
          <w:lang w:val="en-US"/>
        </w:rPr>
        <w:t>Manual</w:t>
      </w:r>
      <w:r w:rsidRPr="005F65AF">
        <w:rPr>
          <w:rStyle w:val="shorttext"/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dialogue system</w:t>
      </w:r>
      <w:r w:rsidRPr="005F65AF">
        <w:rPr>
          <w:rStyle w:val="shorttext"/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RUMM</w:t>
      </w:r>
      <w:r w:rsidRPr="005F65AF">
        <w:rPr>
          <w:rStyle w:val="shorttext"/>
          <w:sz w:val="28"/>
          <w:szCs w:val="28"/>
          <w:lang w:val="en-US"/>
        </w:rPr>
        <w:t xml:space="preserve"> </w:t>
      </w:r>
      <w:r w:rsidRPr="005F65AF">
        <w:rPr>
          <w:rStyle w:val="hps"/>
          <w:sz w:val="28"/>
          <w:szCs w:val="28"/>
          <w:lang w:val="en-US"/>
        </w:rPr>
        <w:t>2030</w:t>
      </w:r>
      <w:r w:rsidR="005F65AF" w:rsidRPr="005F65AF">
        <w:rPr>
          <w:rStyle w:val="hps"/>
          <w:sz w:val="28"/>
          <w:szCs w:val="28"/>
          <w:lang w:val="en-US"/>
        </w:rPr>
        <w:t>]</w:t>
      </w:r>
      <w:r w:rsidR="005F65AF" w:rsidRPr="005F65AF">
        <w:rPr>
          <w:rStyle w:val="hps"/>
          <w:lang w:val="en-US"/>
        </w:rPr>
        <w:t xml:space="preserve"> URL</w:t>
      </w:r>
      <w:r w:rsidRPr="00A170BB">
        <w:rPr>
          <w:sz w:val="28"/>
          <w:szCs w:val="28"/>
          <w:lang w:val="en-US"/>
        </w:rPr>
        <w:t>: rummlab.com.au/demo/marmgetstart.pdf. (accessed  18/04/10).</w:t>
      </w:r>
    </w:p>
    <w:p w:rsidR="008032FB" w:rsidRPr="00A170BB" w:rsidRDefault="008032FB" w:rsidP="008032FB">
      <w:pPr>
        <w:pStyle w:val="af5"/>
        <w:numPr>
          <w:ilvl w:val="3"/>
          <w:numId w:val="4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A170BB">
        <w:rPr>
          <w:sz w:val="28"/>
          <w:szCs w:val="28"/>
          <w:lang w:val="en-US"/>
        </w:rPr>
        <w:t>Eliseev, I.N.  Programmnye produkty i sistemy.  2011.  №3. pp. 80-86.</w:t>
      </w:r>
    </w:p>
    <w:sectPr w:rsidR="008032FB" w:rsidRPr="00A170BB" w:rsidSect="004A53A0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F9" w:rsidRDefault="00522DF9" w:rsidP="00AB4010">
      <w:pPr>
        <w:spacing w:line="240" w:lineRule="auto"/>
      </w:pPr>
      <w:r>
        <w:separator/>
      </w:r>
    </w:p>
  </w:endnote>
  <w:endnote w:type="continuationSeparator" w:id="0">
    <w:p w:rsidR="00522DF9" w:rsidRDefault="00522DF9" w:rsidP="00AB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BD" w:rsidRDefault="006E4FB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D30112" w:rsidP="00870E67">
    <w:pPr>
      <w:pStyle w:val="af1"/>
      <w:jc w:val="right"/>
      <w:rPr>
        <w:color w:val="107DE6"/>
        <w:sz w:val="20"/>
        <w:szCs w:val="20"/>
        <w:shd w:val="clear" w:color="auto" w:fill="FFFFFF"/>
      </w:rPr>
    </w:pPr>
    <w:r w:rsidRPr="00D30112">
      <w:rPr>
        <w:rFonts w:ascii="Helvetica" w:hAnsi="Helvetica" w:cs="Helvetica"/>
        <w:noProof/>
        <w:color w:val="000000"/>
        <w:sz w:val="24"/>
      </w:rPr>
      <w:pict>
        <v:line id="_x0000_s1025" style="position:absolute;left:0;text-align:left;z-index:251660288" from="5.4pt,2.6pt" to="464.4pt,2.6pt" strokecolor="#107de6" strokeweight="4.5pt">
          <v:stroke linestyle="thinThick"/>
        </v:line>
      </w:pict>
    </w:r>
  </w:p>
  <w:p w:rsidR="00206755" w:rsidRPr="00870E67" w:rsidRDefault="00600F4D" w:rsidP="00870E67">
    <w:pPr>
      <w:pStyle w:val="af1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>«Инженерный вестник Дона», 2007–2014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BD" w:rsidRDefault="006E4FB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F9" w:rsidRDefault="00522DF9" w:rsidP="00AB4010">
      <w:pPr>
        <w:spacing w:line="240" w:lineRule="auto"/>
      </w:pPr>
      <w:r>
        <w:separator/>
      </w:r>
    </w:p>
  </w:footnote>
  <w:footnote w:type="continuationSeparator" w:id="0">
    <w:p w:rsidR="00522DF9" w:rsidRDefault="00522DF9" w:rsidP="00AB40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BD" w:rsidRDefault="006E4FB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0B" w:rsidRDefault="0063070B" w:rsidP="0063070B">
    <w:pPr>
      <w:pStyle w:val="af"/>
      <w:spacing w:line="240" w:lineRule="auto"/>
      <w:ind w:left="567"/>
      <w:jc w:val="left"/>
      <w:rPr>
        <w:color w:val="107DE6"/>
        <w:szCs w:val="28"/>
        <w:shd w:val="clear" w:color="auto" w:fill="FFFFFF"/>
      </w:rPr>
    </w:pPr>
    <w:r>
      <w:rPr>
        <w:b/>
        <w:bCs/>
        <w:color w:val="107DE6"/>
        <w:szCs w:val="28"/>
        <w:shd w:val="clear" w:color="auto" w:fill="FFFFFF"/>
      </w:rPr>
      <w:t>Инженерный вестник Дона</w:t>
    </w:r>
    <w:r>
      <w:rPr>
        <w:rStyle w:val="a5"/>
        <w:b w:val="0"/>
        <w:bCs w:val="0"/>
        <w:color w:val="107DE6"/>
        <w:szCs w:val="28"/>
        <w:shd w:val="clear" w:color="auto" w:fill="FFFFFF"/>
      </w:rPr>
      <w:t>, №</w:t>
    </w:r>
    <w:r>
      <w:rPr>
        <w:rStyle w:val="a5"/>
        <w:b w:val="0"/>
        <w:bCs w:val="0"/>
        <w:color w:val="107DE6"/>
        <w:szCs w:val="28"/>
        <w:shd w:val="clear" w:color="auto" w:fill="FFFFFF"/>
        <w:lang w:val="en-US"/>
      </w:rPr>
      <w:t xml:space="preserve">4 </w:t>
    </w:r>
    <w:r>
      <w:rPr>
        <w:rStyle w:val="a5"/>
        <w:b w:val="0"/>
        <w:bCs w:val="0"/>
        <w:color w:val="107DE6"/>
        <w:szCs w:val="28"/>
        <w:shd w:val="clear" w:color="auto" w:fill="FFFFFF"/>
      </w:rPr>
      <w:t>(2014)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4" name="Рисунок 4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70B" w:rsidRDefault="0063070B" w:rsidP="0063070B">
    <w:pPr>
      <w:pStyle w:val="af"/>
      <w:spacing w:line="240" w:lineRule="auto"/>
      <w:ind w:left="567"/>
      <w:jc w:val="left"/>
      <w:rPr>
        <w:rStyle w:val="apple-converted-space"/>
        <w:lang w:val="en-US"/>
      </w:rPr>
    </w:pPr>
    <w:r>
      <w:rPr>
        <w:rStyle w:val="a5"/>
        <w:b w:val="0"/>
        <w:bCs w:val="0"/>
        <w:color w:val="107DE6"/>
        <w:szCs w:val="28"/>
        <w:shd w:val="clear" w:color="auto" w:fill="FFFFFF"/>
        <w:lang w:val="sv-SE"/>
      </w:rPr>
      <w:t>ivdon</w:t>
    </w:r>
    <w:r>
      <w:rPr>
        <w:rStyle w:val="a5"/>
        <w:b w:val="0"/>
        <w:bCs w:val="0"/>
        <w:color w:val="107DE6"/>
        <w:szCs w:val="28"/>
        <w:shd w:val="clear" w:color="auto" w:fill="FFFFFF"/>
      </w:rPr>
      <w:t>.</w:t>
    </w:r>
    <w:r>
      <w:rPr>
        <w:rStyle w:val="a5"/>
        <w:b w:val="0"/>
        <w:bCs w:val="0"/>
        <w:color w:val="107DE6"/>
        <w:szCs w:val="28"/>
        <w:shd w:val="clear" w:color="auto" w:fill="FFFFFF"/>
        <w:lang w:val="sv-SE"/>
      </w:rPr>
      <w:t>ru</w:t>
    </w:r>
    <w:r>
      <w:rPr>
        <w:rStyle w:val="a5"/>
        <w:b w:val="0"/>
        <w:bCs w:val="0"/>
        <w:color w:val="107DE6"/>
        <w:szCs w:val="28"/>
        <w:shd w:val="clear" w:color="auto" w:fill="FFFFFF"/>
        <w:lang w:val="en-US"/>
      </w:rPr>
      <w:t xml:space="preserve"> </w:t>
    </w:r>
    <w:r>
      <w:rPr>
        <w:rStyle w:val="a5"/>
        <w:b w:val="0"/>
        <w:bCs w:val="0"/>
        <w:color w:val="107DE6"/>
        <w:szCs w:val="28"/>
        <w:shd w:val="clear" w:color="auto" w:fill="FFFFFF"/>
      </w:rPr>
      <w:t>/</w:t>
    </w:r>
    <w:r>
      <w:rPr>
        <w:rStyle w:val="a5"/>
        <w:b w:val="0"/>
        <w:bCs w:val="0"/>
        <w:color w:val="107DE6"/>
        <w:szCs w:val="28"/>
        <w:shd w:val="clear" w:color="auto" w:fill="FFFFFF"/>
        <w:lang w:val="sv-SE"/>
      </w:rPr>
      <w:t>ru</w:t>
    </w:r>
    <w:r>
      <w:rPr>
        <w:rStyle w:val="a5"/>
        <w:b w:val="0"/>
        <w:bCs w:val="0"/>
        <w:color w:val="107DE6"/>
        <w:szCs w:val="28"/>
        <w:shd w:val="clear" w:color="auto" w:fill="FFFFFF"/>
      </w:rPr>
      <w:t>/</w:t>
    </w:r>
    <w:r>
      <w:rPr>
        <w:rStyle w:val="a5"/>
        <w:b w:val="0"/>
        <w:bCs w:val="0"/>
        <w:color w:val="107DE6"/>
        <w:szCs w:val="28"/>
        <w:shd w:val="clear" w:color="auto" w:fill="FFFFFF"/>
        <w:lang w:val="sv-SE"/>
      </w:rPr>
      <w:t>magazine</w:t>
    </w:r>
    <w:r>
      <w:rPr>
        <w:rStyle w:val="a5"/>
        <w:b w:val="0"/>
        <w:bCs w:val="0"/>
        <w:color w:val="107DE6"/>
        <w:szCs w:val="28"/>
        <w:shd w:val="clear" w:color="auto" w:fill="FFFFFF"/>
      </w:rPr>
      <w:t>/</w:t>
    </w:r>
    <w:r>
      <w:rPr>
        <w:rStyle w:val="a5"/>
        <w:b w:val="0"/>
        <w:bCs w:val="0"/>
        <w:color w:val="107DE6"/>
        <w:szCs w:val="28"/>
        <w:shd w:val="clear" w:color="auto" w:fill="FFFFFF"/>
        <w:lang w:val="sv-SE"/>
      </w:rPr>
      <w:t>archive</w:t>
    </w:r>
    <w:r>
      <w:rPr>
        <w:rStyle w:val="a5"/>
        <w:b w:val="0"/>
        <w:bCs w:val="0"/>
        <w:color w:val="107DE6"/>
        <w:szCs w:val="28"/>
        <w:shd w:val="clear" w:color="auto" w:fill="FFFFFF"/>
      </w:rPr>
      <w:t>/</w:t>
    </w:r>
    <w:r>
      <w:rPr>
        <w:rStyle w:val="a5"/>
        <w:b w:val="0"/>
        <w:bCs w:val="0"/>
        <w:color w:val="107DE6"/>
        <w:szCs w:val="28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Cs w:val="28"/>
        <w:shd w:val="clear" w:color="auto" w:fill="FFFFFF"/>
        <w:lang w:val="en-US"/>
      </w:rPr>
      <w:t>4</w:t>
    </w:r>
    <w:r>
      <w:rPr>
        <w:rStyle w:val="a5"/>
        <w:b w:val="0"/>
        <w:bCs w:val="0"/>
        <w:color w:val="107DE6"/>
        <w:szCs w:val="28"/>
        <w:shd w:val="clear" w:color="auto" w:fill="FFFFFF"/>
        <w:lang w:val="sv-SE"/>
      </w:rPr>
      <w:t>y</w:t>
    </w:r>
    <w:r>
      <w:rPr>
        <w:rStyle w:val="a5"/>
        <w:b w:val="0"/>
        <w:bCs w:val="0"/>
        <w:color w:val="107DE6"/>
        <w:szCs w:val="28"/>
        <w:shd w:val="clear" w:color="auto" w:fill="FFFFFF"/>
      </w:rPr>
      <w:t>2014/</w:t>
    </w:r>
    <w:r w:rsidR="006E4FBD">
      <w:rPr>
        <w:rStyle w:val="a5"/>
        <w:b w:val="0"/>
        <w:bCs w:val="0"/>
        <w:color w:val="107DE6"/>
        <w:szCs w:val="28"/>
        <w:shd w:val="clear" w:color="auto" w:fill="FFFFFF"/>
        <w:lang w:val="en-US"/>
      </w:rPr>
      <w:t>2566</w:t>
    </w:r>
    <w:r>
      <w:rPr>
        <w:rStyle w:val="apple-converted-space"/>
        <w:b/>
        <w:bCs/>
        <w:color w:val="107DE6"/>
        <w:szCs w:val="28"/>
        <w:shd w:val="clear" w:color="auto" w:fill="FFFFFF"/>
        <w:lang w:val="sv-SE"/>
      </w:rPr>
      <w:t> </w:t>
    </w:r>
  </w:p>
  <w:p w:rsidR="007B084A" w:rsidRPr="00630289" w:rsidRDefault="00522DF9" w:rsidP="00404201">
    <w:pPr>
      <w:pStyle w:val="af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D30112" w:rsidP="00EE5198">
    <w:pPr>
      <w:pStyle w:val="af"/>
      <w:rPr>
        <w:b/>
        <w:bCs/>
        <w:color w:val="000080"/>
        <w:sz w:val="24"/>
        <w:u w:color="000080"/>
      </w:rPr>
    </w:pPr>
    <w:r w:rsidRPr="00D30112">
      <w:rPr>
        <w:b/>
        <w:bCs/>
        <w:noProof/>
        <w:color w:val="0000FF"/>
        <w:sz w:val="24"/>
      </w:rPr>
      <w:pict>
        <v:line id="_x0000_s1026" style="position:absolute;left:0;text-align:left;z-index:251661312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BD" w:rsidRDefault="006E4F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C73"/>
    <w:multiLevelType w:val="hybridMultilevel"/>
    <w:tmpl w:val="B3A8CAF4"/>
    <w:lvl w:ilvl="0" w:tplc="5F8032F2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48267D6"/>
    <w:multiLevelType w:val="hybridMultilevel"/>
    <w:tmpl w:val="F9EA1C1C"/>
    <w:lvl w:ilvl="0" w:tplc="D28CFBF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5817"/>
    <w:rsid w:val="00522DF9"/>
    <w:rsid w:val="005F65AF"/>
    <w:rsid w:val="00600F4D"/>
    <w:rsid w:val="0063070B"/>
    <w:rsid w:val="0063692A"/>
    <w:rsid w:val="006E4FBD"/>
    <w:rsid w:val="007E3C03"/>
    <w:rsid w:val="008032FB"/>
    <w:rsid w:val="0088565A"/>
    <w:rsid w:val="00A35817"/>
    <w:rsid w:val="00A570E9"/>
    <w:rsid w:val="00AB2A22"/>
    <w:rsid w:val="00AB4010"/>
    <w:rsid w:val="00C47185"/>
    <w:rsid w:val="00D30112"/>
    <w:rsid w:val="00DB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1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35817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A35817"/>
    <w:rPr>
      <w:b/>
      <w:bCs/>
    </w:rPr>
  </w:style>
  <w:style w:type="character" w:customStyle="1" w:styleId="apple-converted-space">
    <w:name w:val="apple-converted-space"/>
    <w:basedOn w:val="a0"/>
    <w:rsid w:val="00A35817"/>
  </w:style>
  <w:style w:type="paragraph" w:customStyle="1" w:styleId="a6">
    <w:name w:val="ИВД: Заголовок статьи"/>
    <w:basedOn w:val="1"/>
    <w:next w:val="a7"/>
    <w:link w:val="a8"/>
    <w:qFormat/>
    <w:rsid w:val="00A35817"/>
    <w:pPr>
      <w:keepLines w:val="0"/>
      <w:pageBreakBefore/>
      <w:shd w:val="clear" w:color="auto" w:fill="FFFFFF"/>
      <w:spacing w:before="0"/>
      <w:jc w:val="center"/>
    </w:pPr>
    <w:rPr>
      <w:rFonts w:ascii="Times New Roman" w:eastAsia="Times New Roman" w:hAnsi="Times New Roman" w:cs="Times New Roman"/>
      <w:color w:val="000000"/>
      <w:kern w:val="24"/>
      <w:szCs w:val="32"/>
      <w:lang w:eastAsia="en-US"/>
    </w:rPr>
  </w:style>
  <w:style w:type="paragraph" w:customStyle="1" w:styleId="a7">
    <w:name w:val="ИВД: Текст статьи"/>
    <w:basedOn w:val="a3"/>
    <w:qFormat/>
    <w:rsid w:val="00A35817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8">
    <w:name w:val="ИВД: Заголовок статьи Знак"/>
    <w:link w:val="a6"/>
    <w:rsid w:val="00A35817"/>
    <w:rPr>
      <w:rFonts w:ascii="Times New Roman" w:eastAsia="Times New Roman" w:hAnsi="Times New Roman" w:cs="Times New Roman"/>
      <w:b/>
      <w:bCs/>
      <w:color w:val="000000"/>
      <w:kern w:val="24"/>
      <w:sz w:val="28"/>
      <w:szCs w:val="32"/>
      <w:shd w:val="clear" w:color="auto" w:fill="FFFFFF"/>
    </w:rPr>
  </w:style>
  <w:style w:type="paragraph" w:customStyle="1" w:styleId="a9">
    <w:name w:val="ИВД: Подзаголовок"/>
    <w:basedOn w:val="2"/>
    <w:next w:val="a7"/>
    <w:link w:val="aa"/>
    <w:qFormat/>
    <w:rsid w:val="00A35817"/>
    <w:pPr>
      <w:keepLines w:val="0"/>
      <w:shd w:val="clear" w:color="auto" w:fill="FFFFFF"/>
      <w:spacing w:before="240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4">
    <w:name w:val="Обычный (веб) Знак"/>
    <w:link w:val="a3"/>
    <w:uiPriority w:val="99"/>
    <w:rsid w:val="00A35817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ИВД: Подзаголовок Знак"/>
    <w:link w:val="a9"/>
    <w:rsid w:val="00A35817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paragraph" w:customStyle="1" w:styleId="ab">
    <w:name w:val="ИВД: Название объекта"/>
    <w:basedOn w:val="ac"/>
    <w:next w:val="a7"/>
    <w:link w:val="ad"/>
    <w:qFormat/>
    <w:rsid w:val="00A35817"/>
    <w:pPr>
      <w:spacing w:after="0" w:line="360" w:lineRule="auto"/>
      <w:jc w:val="center"/>
    </w:pPr>
    <w:rPr>
      <w:b w:val="0"/>
      <w:color w:val="auto"/>
      <w:sz w:val="28"/>
      <w:szCs w:val="20"/>
    </w:rPr>
  </w:style>
  <w:style w:type="character" w:styleId="ae">
    <w:name w:val="Hyperlink"/>
    <w:uiPriority w:val="99"/>
    <w:unhideWhenUsed/>
    <w:rsid w:val="00A35817"/>
    <w:rPr>
      <w:color w:val="0000FF"/>
      <w:u w:val="single"/>
    </w:rPr>
  </w:style>
  <w:style w:type="character" w:customStyle="1" w:styleId="ad">
    <w:name w:val="ИВД: Название объекта Знак"/>
    <w:link w:val="ab"/>
    <w:rsid w:val="00A35817"/>
    <w:rPr>
      <w:rFonts w:ascii="Times New Roman" w:eastAsia="Times New Roman" w:hAnsi="Times New Roman" w:cs="Times New Roman"/>
      <w:bCs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A358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5817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A358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581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35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5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A3581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A35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81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8032FB"/>
    <w:pPr>
      <w:autoSpaceDE w:val="0"/>
      <w:autoSpaceDN w:val="0"/>
      <w:spacing w:line="240" w:lineRule="auto"/>
      <w:ind w:left="720"/>
      <w:jc w:val="left"/>
    </w:pPr>
    <w:rPr>
      <w:rFonts w:eastAsia="SimSun"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032FB"/>
    <w:pPr>
      <w:autoSpaceDE w:val="0"/>
      <w:autoSpaceDN w:val="0"/>
      <w:spacing w:line="240" w:lineRule="auto"/>
      <w:ind w:left="720"/>
      <w:jc w:val="left"/>
    </w:pPr>
    <w:rPr>
      <w:rFonts w:eastAsia="SimSun"/>
      <w:sz w:val="20"/>
      <w:szCs w:val="20"/>
      <w:lang w:eastAsia="zh-CN"/>
    </w:rPr>
  </w:style>
  <w:style w:type="character" w:customStyle="1" w:styleId="hps">
    <w:name w:val="hps"/>
    <w:basedOn w:val="a0"/>
    <w:rsid w:val="008032FB"/>
    <w:rPr>
      <w:rFonts w:cs="Times New Roman"/>
    </w:rPr>
  </w:style>
  <w:style w:type="character" w:customStyle="1" w:styleId="shorttext">
    <w:name w:val="short_text"/>
    <w:basedOn w:val="a0"/>
    <w:rsid w:val="008032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3" Type="http://schemas.openxmlformats.org/officeDocument/2006/relationships/oleObject" Target="embeddings/oleObject25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2</cp:lastModifiedBy>
  <cp:revision>6</cp:revision>
  <dcterms:created xsi:type="dcterms:W3CDTF">2014-11-07T19:14:00Z</dcterms:created>
  <dcterms:modified xsi:type="dcterms:W3CDTF">2014-11-17T15:28:00Z</dcterms:modified>
</cp:coreProperties>
</file>