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F" w:rsidRDefault="00312C7F" w:rsidP="00520C9E">
      <w:pPr>
        <w:spacing w:line="360" w:lineRule="auto"/>
        <w:jc w:val="center"/>
        <w:rPr>
          <w:b/>
          <w:bCs/>
        </w:rPr>
      </w:pPr>
      <w:r w:rsidRPr="00312C7F">
        <w:rPr>
          <w:b/>
          <w:bCs/>
        </w:rPr>
        <w:t>Оценка влияния состояния воды на свойства цемен</w:t>
      </w:r>
      <w:bookmarkStart w:id="0" w:name="_GoBack"/>
      <w:bookmarkEnd w:id="0"/>
      <w:r w:rsidRPr="00312C7F">
        <w:rPr>
          <w:b/>
          <w:bCs/>
        </w:rPr>
        <w:t xml:space="preserve">тно-песчаных шликеров </w:t>
      </w:r>
    </w:p>
    <w:p w:rsidR="00B127FF" w:rsidRPr="005A4CED" w:rsidRDefault="00302217" w:rsidP="00520C9E">
      <w:pPr>
        <w:spacing w:line="360" w:lineRule="auto"/>
        <w:jc w:val="center"/>
      </w:pPr>
      <w:r w:rsidRPr="00D86D3B">
        <w:rPr>
          <w:b/>
        </w:rPr>
        <w:t>К. И. Костыленко</w:t>
      </w:r>
      <w:r w:rsidR="00245007" w:rsidRPr="00D86D3B">
        <w:rPr>
          <w:b/>
        </w:rPr>
        <w:br/>
      </w:r>
      <w:r w:rsidR="00245007" w:rsidRPr="005A4CED">
        <w:t>Ростовский государственный строительный университет</w:t>
      </w:r>
      <w:r w:rsidR="005A4CED" w:rsidRPr="005A4CED">
        <w:t>, Ростов-на-Дону</w:t>
      </w:r>
    </w:p>
    <w:p w:rsidR="00B127FF" w:rsidRPr="001A0468" w:rsidRDefault="00B127FF" w:rsidP="001A0468">
      <w:pPr>
        <w:ind w:firstLine="567"/>
        <w:jc w:val="both"/>
      </w:pPr>
      <w:r w:rsidRPr="001A0468">
        <w:t>В настоящее время довольно сложно изготовить материал одинаково эффективный в конструкционном и теплозащитном отношении. Причиной этому являются законы физики, которые гласят</w:t>
      </w:r>
      <w:r w:rsidR="008D477F" w:rsidRPr="001A0468">
        <w:t>:</w:t>
      </w:r>
      <w:r w:rsidRPr="001A0468">
        <w:t xml:space="preserve"> «плотные тела пропускают тепло лучше пористых»</w:t>
      </w:r>
      <w:r w:rsidR="008D477F" w:rsidRPr="001A0468">
        <w:t xml:space="preserve">, а </w:t>
      </w:r>
      <w:r w:rsidRPr="001A0468">
        <w:t>«</w:t>
      </w:r>
      <w:r w:rsidR="008D477F" w:rsidRPr="001A0468">
        <w:t>порист</w:t>
      </w:r>
      <w:r w:rsidR="004F6AF5" w:rsidRPr="001A0468">
        <w:t xml:space="preserve">остьуменьшает </w:t>
      </w:r>
      <w:r w:rsidR="008D477F" w:rsidRPr="001A0468">
        <w:t>способн</w:t>
      </w:r>
      <w:r w:rsidR="004F6AF5" w:rsidRPr="001A0468">
        <w:t xml:space="preserve">ость материалов </w:t>
      </w:r>
      <w:r w:rsidR="008D477F" w:rsidRPr="001A0468">
        <w:t>воспринимать нагрузки»</w:t>
      </w:r>
      <w:r w:rsidR="00337BB1" w:rsidRPr="001A0468">
        <w:t xml:space="preserve"> [</w:t>
      </w:r>
      <w:r w:rsidR="00302217" w:rsidRPr="001A0468">
        <w:t>1</w:t>
      </w:r>
      <w:r w:rsidR="00337BB1" w:rsidRPr="001A0468">
        <w:t>]</w:t>
      </w:r>
      <w:r w:rsidR="008D477F" w:rsidRPr="001A0468">
        <w:t xml:space="preserve">.  </w:t>
      </w:r>
    </w:p>
    <w:p w:rsidR="008D477F" w:rsidRPr="001A0468" w:rsidRDefault="008D477F" w:rsidP="001A0468">
      <w:pPr>
        <w:ind w:firstLine="567"/>
        <w:jc w:val="both"/>
      </w:pPr>
      <w:r w:rsidRPr="001A0468">
        <w:t>Когда на стадии проектирования зданий выбирают способы производства работ и соответственно материалы</w:t>
      </w:r>
      <w:r w:rsidR="00CD5D6E" w:rsidRPr="001A0468">
        <w:t>,</w:t>
      </w:r>
      <w:r w:rsidRPr="001A0468">
        <w:t xml:space="preserve"> в большинстве случаев используют решения удобные в </w:t>
      </w:r>
      <w:r w:rsidR="00337BB1" w:rsidRPr="001A0468">
        <w:t xml:space="preserve">установке </w:t>
      </w:r>
      <w:r w:rsidR="00504DCD" w:rsidRPr="001A0468">
        <w:t>на строительной площадке</w:t>
      </w:r>
      <w:r w:rsidRPr="001A0468">
        <w:t xml:space="preserve"> и регулировании требуемых</w:t>
      </w:r>
      <w:r w:rsidR="00504DCD" w:rsidRPr="001A0468">
        <w:t xml:space="preserve"> эксплуатационных </w:t>
      </w:r>
      <w:r w:rsidRPr="001A0468">
        <w:t xml:space="preserve"> свойств. </w:t>
      </w:r>
      <w:r w:rsidR="004727E9" w:rsidRPr="001A0468">
        <w:t xml:space="preserve">Как </w:t>
      </w:r>
      <w:r w:rsidR="00CD5D6E" w:rsidRPr="001A0468">
        <w:t>правило, это широко применяемые и</w:t>
      </w:r>
      <w:r w:rsidR="004727E9" w:rsidRPr="001A0468">
        <w:t xml:space="preserve"> многократно проверенные </w:t>
      </w:r>
      <w:r w:rsidR="00CD5D6E" w:rsidRPr="001A0468">
        <w:t>материалы</w:t>
      </w:r>
      <w:r w:rsidR="0038703F" w:rsidRPr="001A0468">
        <w:t xml:space="preserve">. </w:t>
      </w:r>
      <w:r w:rsidR="00381489" w:rsidRPr="001A0468">
        <w:t>Применение передовых разработок в области материаловедения часто замедляется из-за высоких рисков</w:t>
      </w:r>
      <w:r w:rsidR="00282F53" w:rsidRPr="001A0468">
        <w:t xml:space="preserve">, связанных с неполной степенью изученности свойств и малым опытом их практического применения. </w:t>
      </w:r>
    </w:p>
    <w:p w:rsidR="00CC77CB" w:rsidRPr="001A0468" w:rsidRDefault="005F238C" w:rsidP="001A0468">
      <w:pPr>
        <w:ind w:firstLine="567"/>
        <w:jc w:val="both"/>
      </w:pPr>
      <w:r w:rsidRPr="001A0468">
        <w:t xml:space="preserve">Одним из </w:t>
      </w:r>
      <w:r w:rsidR="00096144" w:rsidRPr="001A0468">
        <w:t>таких</w:t>
      </w:r>
      <w:r w:rsidRPr="001A0468">
        <w:t xml:space="preserve"> перспективных материалов является пенобетон</w:t>
      </w:r>
      <w:r w:rsidR="004F1B62" w:rsidRPr="001A0468">
        <w:t xml:space="preserve"> [</w:t>
      </w:r>
      <w:r w:rsidR="00302217" w:rsidRPr="001A0468">
        <w:t>2</w:t>
      </w:r>
      <w:r w:rsidR="00B81F73" w:rsidRPr="001A0468">
        <w:t>,3</w:t>
      </w:r>
      <w:r w:rsidR="004F1B62" w:rsidRPr="001A0468">
        <w:t>]</w:t>
      </w:r>
      <w:r w:rsidRPr="001A0468">
        <w:t xml:space="preserve">. Возможности этого материала очень широки, так как он обладает большим диапазоном вариации своих свойств. </w:t>
      </w:r>
      <w:r w:rsidR="00F64731" w:rsidRPr="001A0468">
        <w:t xml:space="preserve">На сегодня освоены технологии его промышленного производства, а так же приготовления и монолитной </w:t>
      </w:r>
      <w:r w:rsidR="00D85D7B">
        <w:t>укладки</w:t>
      </w:r>
      <w:r w:rsidR="002744C4" w:rsidRPr="001A0468">
        <w:t xml:space="preserve">непосредственно на объекте. </w:t>
      </w:r>
      <w:r w:rsidR="00F52FBD" w:rsidRPr="001A0468">
        <w:t xml:space="preserve">Применение в строительстве монолитного пенобетона </w:t>
      </w:r>
      <w:r w:rsidR="002744C4" w:rsidRPr="001A0468">
        <w:t>исключает затраты на бой, погрузку-разгрузку, кладку, а также позволяет снизить затраты на транспортировку.</w:t>
      </w:r>
      <w:r w:rsidR="004F1B62" w:rsidRPr="001A0468">
        <w:t xml:space="preserve"> Применение мелкоштучных стеновых изделий из этого материала встречает конкуренцию со стороны не менее </w:t>
      </w:r>
      <w:r w:rsidR="005544C2" w:rsidRPr="001A0468">
        <w:t>перспективного автоклавного газобетона.</w:t>
      </w:r>
    </w:p>
    <w:p w:rsidR="007773CE" w:rsidRPr="001A0468" w:rsidRDefault="0069250E" w:rsidP="001A0468">
      <w:pPr>
        <w:ind w:firstLine="567"/>
        <w:jc w:val="both"/>
      </w:pPr>
      <w:r w:rsidRPr="001A0468">
        <w:t xml:space="preserve">Промышленное производство </w:t>
      </w:r>
      <w:r w:rsidR="007D3507">
        <w:t xml:space="preserve">автоклавного газобетона </w:t>
      </w:r>
      <w:r w:rsidRPr="001A0468">
        <w:t xml:space="preserve">характеризуется </w:t>
      </w:r>
      <w:r w:rsidR="005544C2" w:rsidRPr="001A0468">
        <w:t xml:space="preserve">высоким качеством вследствие </w:t>
      </w:r>
      <w:r w:rsidRPr="001A0468">
        <w:t>постоянств</w:t>
      </w:r>
      <w:r w:rsidR="005544C2" w:rsidRPr="001A0468">
        <w:t>а</w:t>
      </w:r>
      <w:r w:rsidRPr="001A0468">
        <w:t xml:space="preserve"> технологических факторов</w:t>
      </w:r>
      <w:r w:rsidR="007D3507">
        <w:t xml:space="preserve">. Однако </w:t>
      </w:r>
      <w:r w:rsidRPr="001A0468">
        <w:t>определенны</w:t>
      </w:r>
      <w:r w:rsidR="007D3507">
        <w:t>й</w:t>
      </w:r>
      <w:r w:rsidRPr="001A0468">
        <w:t xml:space="preserve"> набор геометрических форм изделий</w:t>
      </w:r>
      <w:r w:rsidR="007D3507">
        <w:t xml:space="preserve"> не позволяет полностью удовлетворить спрос на рынке аналогичных строительных материалов</w:t>
      </w:r>
      <w:r w:rsidRPr="001A0468">
        <w:t xml:space="preserve">, и поэтому </w:t>
      </w:r>
      <w:r w:rsidR="004F1B62" w:rsidRPr="001A0468">
        <w:t>технология</w:t>
      </w:r>
      <w:r w:rsidR="005544C2" w:rsidRPr="001A0468">
        <w:t xml:space="preserve"> автоклавного газобетона</w:t>
      </w:r>
      <w:r w:rsidR="004F1B62" w:rsidRPr="001A0468">
        <w:t xml:space="preserve"> не является «гибкой» (адаптивной </w:t>
      </w:r>
      <w:r w:rsidRPr="001A0468">
        <w:t>к конкретным условиям строительства</w:t>
      </w:r>
      <w:r w:rsidR="00302217" w:rsidRPr="001A0468">
        <w:t>)</w:t>
      </w:r>
      <w:r w:rsidRPr="001A0468">
        <w:t>.</w:t>
      </w:r>
    </w:p>
    <w:p w:rsidR="00096144" w:rsidRPr="001A0468" w:rsidRDefault="00096144" w:rsidP="001A0468">
      <w:pPr>
        <w:ind w:firstLine="567"/>
        <w:jc w:val="both"/>
      </w:pPr>
      <w:r w:rsidRPr="001A0468">
        <w:t xml:space="preserve">Для  ускорения использования на практике перспективных материалов, необходимо на стадии их научных </w:t>
      </w:r>
      <w:r w:rsidR="001E0455">
        <w:t xml:space="preserve">разработок и </w:t>
      </w:r>
      <w:r w:rsidRPr="001A0468">
        <w:t xml:space="preserve">исследований установить количественные зависимости изменения свойств от </w:t>
      </w:r>
      <w:r w:rsidR="00D85D7B">
        <w:t xml:space="preserve">качества и количества </w:t>
      </w:r>
      <w:r w:rsidRPr="001A0468">
        <w:t>сырьевых компонентов доступных на всей территории нашей страны и за ее пределами, а так же смоделировать последствия воздействия агрессивных факторов и нагрузок превышающих расчетные.</w:t>
      </w:r>
    </w:p>
    <w:p w:rsidR="00096144" w:rsidRPr="001A0468" w:rsidRDefault="00096144" w:rsidP="001A0468">
      <w:pPr>
        <w:ind w:firstLine="567"/>
        <w:jc w:val="both"/>
      </w:pPr>
      <w:r w:rsidRPr="001A0468">
        <w:t xml:space="preserve">Исследования свойств пенобетонов проводятся на составах </w:t>
      </w:r>
      <w:r w:rsidR="001E0455">
        <w:t>значительно отличающихся по соотношению компонентов в смеси. Данная ситуация сложилась вследствие того, что подбор составов</w:t>
      </w:r>
      <w:r w:rsidR="00182D63">
        <w:t xml:space="preserve"> пенобетонов</w:t>
      </w:r>
      <w:r w:rsidRPr="001A0468">
        <w:t>, в большинстве случаев,</w:t>
      </w:r>
      <w:r w:rsidR="001E0455">
        <w:t xml:space="preserve"> производится по</w:t>
      </w:r>
      <w:r w:rsidRPr="001A0468">
        <w:t xml:space="preserve"> авторским методикам исследователей, которые имеют очень много отличий. Поэтому накопленные данные о методах проектировании и свойствах пенобетонов различных исследователей бывают неоднозначными и трудно поддающимися анализу.</w:t>
      </w:r>
    </w:p>
    <w:p w:rsidR="005544C2" w:rsidRPr="001A0468" w:rsidRDefault="0069250E" w:rsidP="001A0468">
      <w:pPr>
        <w:ind w:firstLine="567"/>
        <w:jc w:val="both"/>
      </w:pPr>
      <w:r w:rsidRPr="001A0468">
        <w:t>Перспективным является установление</w:t>
      </w:r>
      <w:r w:rsidR="00C631E8" w:rsidRPr="001A0468">
        <w:t xml:space="preserve"> единых </w:t>
      </w:r>
      <w:r w:rsidRPr="001A0468">
        <w:t>закономерностей</w:t>
      </w:r>
      <w:r w:rsidR="00C631E8" w:rsidRPr="001A0468">
        <w:t>,</w:t>
      </w:r>
      <w:r w:rsidRPr="001A0468">
        <w:t xml:space="preserve"> объясняющих получение таких результатов.</w:t>
      </w:r>
      <w:r w:rsidR="00656D94">
        <w:t xml:space="preserve">Следствием </w:t>
      </w:r>
      <w:r w:rsidR="00182D63">
        <w:t xml:space="preserve">этой работы </w:t>
      </w:r>
      <w:r w:rsidR="00656D94">
        <w:t xml:space="preserve">будет </w:t>
      </w:r>
      <w:r w:rsidR="00182D63">
        <w:t xml:space="preserve">разработка </w:t>
      </w:r>
      <w:r w:rsidR="00182D63" w:rsidRPr="001A0468">
        <w:t>един</w:t>
      </w:r>
      <w:r w:rsidR="00182D63">
        <w:t>ой</w:t>
      </w:r>
      <w:r w:rsidR="00182D63" w:rsidRPr="001A0468">
        <w:t xml:space="preserve"> методи</w:t>
      </w:r>
      <w:r w:rsidR="00182D63">
        <w:t xml:space="preserve">ки </w:t>
      </w:r>
      <w:r w:rsidR="00182D63" w:rsidRPr="001A0468">
        <w:t xml:space="preserve">проектирования состава </w:t>
      </w:r>
      <w:r w:rsidR="00182D63">
        <w:t>пенобетона</w:t>
      </w:r>
      <w:r w:rsidR="005544C2" w:rsidRPr="001A0468">
        <w:t>.</w:t>
      </w:r>
    </w:p>
    <w:p w:rsidR="00182D63" w:rsidRDefault="003D15B9" w:rsidP="001A0468">
      <w:pPr>
        <w:ind w:firstLine="567"/>
        <w:jc w:val="both"/>
      </w:pPr>
      <w:r w:rsidRPr="001A0468">
        <w:t xml:space="preserve">Проектирование </w:t>
      </w:r>
      <w:r w:rsidR="00656D94">
        <w:t xml:space="preserve">состава </w:t>
      </w:r>
      <w:r w:rsidRPr="001A0468">
        <w:t xml:space="preserve">пенобетонов </w:t>
      </w:r>
      <w:r w:rsidR="00656D94">
        <w:t xml:space="preserve">с заданными свойствами </w:t>
      </w:r>
      <w:r w:rsidRPr="001A0468">
        <w:t>должно основываться на:</w:t>
      </w:r>
    </w:p>
    <w:p w:rsidR="00182D63" w:rsidRDefault="001F493A" w:rsidP="001F493A">
      <w:pPr>
        <w:pStyle w:val="a7"/>
        <w:numPr>
          <w:ilvl w:val="0"/>
          <w:numId w:val="3"/>
        </w:numPr>
        <w:jc w:val="both"/>
      </w:pPr>
      <w:r w:rsidRPr="001F493A">
        <w:t xml:space="preserve">достоверной информации о свойствах сырьевых компонентов, значимой для процесса формирования структуры </w:t>
      </w:r>
      <w:r w:rsidR="003D15B9" w:rsidRPr="001A0468">
        <w:t>(размер зерен заполнителя; тонкость помола, активность, сроки схватывания, вещественный состав цемента; кратность пенообразователя и устойчивость пены по</w:t>
      </w:r>
      <w:r w:rsidR="00182D63">
        <w:t>лученной из него) и соотношениях между ними;</w:t>
      </w:r>
    </w:p>
    <w:p w:rsidR="00C631E8" w:rsidRPr="001A0468" w:rsidRDefault="001F493A" w:rsidP="00182D63">
      <w:pPr>
        <w:pStyle w:val="a7"/>
        <w:numPr>
          <w:ilvl w:val="0"/>
          <w:numId w:val="3"/>
        </w:numPr>
        <w:jc w:val="both"/>
      </w:pPr>
      <w:r>
        <w:t>учете параметров</w:t>
      </w:r>
      <w:r w:rsidR="003D15B9" w:rsidRPr="001A0468">
        <w:t xml:space="preserve"> основных технологических операций производства (</w:t>
      </w:r>
      <w:r w:rsidR="00E52490" w:rsidRPr="001A0468">
        <w:t>конструкции и интенсивности перемешивания</w:t>
      </w:r>
      <w:r w:rsidR="003D15B9" w:rsidRPr="001A0468">
        <w:t>)</w:t>
      </w:r>
      <w:r w:rsidR="00E52490" w:rsidRPr="001A0468">
        <w:t xml:space="preserve"> [</w:t>
      </w:r>
      <w:r w:rsidR="00302217" w:rsidRPr="001A0468">
        <w:t>4</w:t>
      </w:r>
      <w:r w:rsidR="00E52490" w:rsidRPr="001A0468">
        <w:t>]</w:t>
      </w:r>
      <w:r w:rsidR="007318A9" w:rsidRPr="001A0468">
        <w:t xml:space="preserve">. </w:t>
      </w:r>
    </w:p>
    <w:p w:rsidR="00080FEB" w:rsidRPr="001A0468" w:rsidRDefault="00182D63" w:rsidP="001A0468">
      <w:pPr>
        <w:ind w:firstLine="567"/>
        <w:jc w:val="both"/>
      </w:pPr>
      <w:r>
        <w:lastRenderedPageBreak/>
        <w:t xml:space="preserve">Неотъемлемым компонентом для бетонов является вода или водный раствор, являющийся активатором твердения вяжущего. В </w:t>
      </w:r>
      <w:r w:rsidR="00080FEB" w:rsidRPr="001A0468">
        <w:t>структуре пенобетонных смесей вода может находиться в свободном и связанном состоянии</w:t>
      </w:r>
      <w:r w:rsidR="00263798" w:rsidRPr="001A0468">
        <w:t xml:space="preserve"> [</w:t>
      </w:r>
      <w:r w:rsidR="00BF0F05">
        <w:t xml:space="preserve">2, </w:t>
      </w:r>
      <w:r w:rsidR="00302217" w:rsidRPr="001A0468">
        <w:t>5</w:t>
      </w:r>
      <w:r w:rsidR="00263798" w:rsidRPr="001A0468">
        <w:t>]</w:t>
      </w:r>
      <w:r w:rsidR="00080FEB" w:rsidRPr="001A0468">
        <w:t xml:space="preserve">. </w:t>
      </w:r>
      <w:r w:rsidR="006B5F23" w:rsidRPr="001A0468">
        <w:t>Вода может связываться химически (</w:t>
      </w:r>
      <w:r w:rsidR="00BF0F05">
        <w:t>в результате взаимодействия</w:t>
      </w:r>
      <w:r w:rsidR="006B5F23" w:rsidRPr="001A0468">
        <w:t xml:space="preserve"> с вяжущим веществом) и физически (адсорбироваться на поверхности твердых частиц). </w:t>
      </w:r>
      <w:r w:rsidR="00080FEB" w:rsidRPr="001A0468">
        <w:t xml:space="preserve">При образовании пенных пленок </w:t>
      </w:r>
      <w:r w:rsidR="006B5F23" w:rsidRPr="001A0468">
        <w:t>поверхностно-активные вещества (</w:t>
      </w:r>
      <w:r w:rsidR="00080FEB" w:rsidRPr="001A0468">
        <w:t>ПАВ</w:t>
      </w:r>
      <w:r w:rsidR="006B5F23" w:rsidRPr="001A0468">
        <w:t>)</w:t>
      </w:r>
      <w:r w:rsidR="004B4DCB">
        <w:t>дополнительно связывают воду, сосредотачивая ее на границе раздела фаз</w:t>
      </w:r>
      <w:r w:rsidR="000E1865" w:rsidRPr="001A0468">
        <w:t xml:space="preserve"> [</w:t>
      </w:r>
      <w:r w:rsidR="00302217" w:rsidRPr="001A0468">
        <w:t>2</w:t>
      </w:r>
      <w:r w:rsidR="00263798" w:rsidRPr="001A0468">
        <w:t>,3</w:t>
      </w:r>
      <w:r w:rsidR="005A4CED">
        <w:t>,6</w:t>
      </w:r>
      <w:r w:rsidR="000E1865" w:rsidRPr="001A0468">
        <w:t>]</w:t>
      </w:r>
      <w:r w:rsidR="00080FEB" w:rsidRPr="001A0468">
        <w:t>.</w:t>
      </w:r>
      <w:r w:rsidR="00B81F73" w:rsidRPr="001A0468">
        <w:t xml:space="preserve"> ПАВ достигшие поверхности раздела фаз жидкость-газ, </w:t>
      </w:r>
      <w:r w:rsidR="004B4DCB">
        <w:t xml:space="preserve">совершают полезную работу, </w:t>
      </w:r>
      <w:r w:rsidR="00B81F73" w:rsidRPr="001A0468">
        <w:t xml:space="preserve">насыщая смесь воздухом, а те ПАВ, которые остались в толще водных прослоек, постепенно адсорбируются на твердых частицах, в том числе снижая </w:t>
      </w:r>
      <w:r w:rsidR="00A07B9B">
        <w:t>скорость протекания химических процессов в бетоне</w:t>
      </w:r>
      <w:r w:rsidR="00B81F73" w:rsidRPr="001A0468">
        <w:t xml:space="preserve">. </w:t>
      </w:r>
      <w:r w:rsidR="00080FEB" w:rsidRPr="001A0468">
        <w:t xml:space="preserve">Поэтому для </w:t>
      </w:r>
      <w:r w:rsidR="00CA75DB">
        <w:t>установления рационального расхода</w:t>
      </w:r>
      <w:r w:rsidR="00080FEB" w:rsidRPr="001A0468">
        <w:t xml:space="preserve"> пенообразователя необходимо знать</w:t>
      </w:r>
      <w:r w:rsidR="004B4DCB">
        <w:t>,</w:t>
      </w:r>
      <w:r w:rsidR="00080FEB" w:rsidRPr="001A0468">
        <w:t xml:space="preserve"> какое количество свободной воды присутствует в смеси. </w:t>
      </w:r>
    </w:p>
    <w:p w:rsidR="000964DE" w:rsidRPr="001A0468" w:rsidRDefault="0084019E" w:rsidP="001A0468">
      <w:pPr>
        <w:ind w:firstLine="567"/>
        <w:jc w:val="both"/>
      </w:pPr>
      <w:r w:rsidRPr="0084019E">
        <w:t>Способность цементного геля удерживать определенный объем воды определяется интенсивностью сил взаимодействия между частицами</w:t>
      </w:r>
      <w:r w:rsidR="00A07B9B">
        <w:t>:</w:t>
      </w:r>
      <w:r w:rsidRPr="0084019E">
        <w:t xml:space="preserve"> чем плотнее они упакованы, тоньше водные оболочки, тем меньше структурные ячейки между сольватированными частицами цемента и прочнее удерживается в них вода</w:t>
      </w:r>
      <w:r w:rsidR="00A07B9B" w:rsidRPr="00A07B9B">
        <w:t>[5]</w:t>
      </w:r>
      <w:r w:rsidRPr="0084019E">
        <w:t>.</w:t>
      </w:r>
      <w:r w:rsidR="0086200E" w:rsidRPr="001A0468">
        <w:t>Предельная водоудерживающая способность цементного геля связана корреляционно с рядом свойств цемента: минералогическ</w:t>
      </w:r>
      <w:r w:rsidR="0095630C" w:rsidRPr="001A0468">
        <w:t>им</w:t>
      </w:r>
      <w:r w:rsidR="0086200E" w:rsidRPr="001A0468">
        <w:t xml:space="preserve"> состав</w:t>
      </w:r>
      <w:r w:rsidR="0095630C" w:rsidRPr="001A0468">
        <w:t>ом</w:t>
      </w:r>
      <w:r w:rsidR="0086200E" w:rsidRPr="001A0468">
        <w:t xml:space="preserve"> и дисперсност</w:t>
      </w:r>
      <w:r w:rsidR="0095630C" w:rsidRPr="001A0468">
        <w:t>ью</w:t>
      </w:r>
      <w:r w:rsidR="0086200E" w:rsidRPr="001A0468">
        <w:t>, количеств</w:t>
      </w:r>
      <w:r w:rsidR="0095630C" w:rsidRPr="001A0468">
        <w:t>ом</w:t>
      </w:r>
      <w:r w:rsidR="0086200E" w:rsidRPr="001A0468">
        <w:t xml:space="preserve"> и вид</w:t>
      </w:r>
      <w:r w:rsidR="0095630C" w:rsidRPr="001A0468">
        <w:t>ом</w:t>
      </w:r>
      <w:r w:rsidR="0086200E" w:rsidRPr="001A0468">
        <w:t xml:space="preserve"> введенных добавок, а также способ</w:t>
      </w:r>
      <w:r w:rsidR="0095630C" w:rsidRPr="001A0468">
        <w:t>ом</w:t>
      </w:r>
      <w:r w:rsidR="0086200E" w:rsidRPr="001A0468">
        <w:t xml:space="preserve"> и интенсивност</w:t>
      </w:r>
      <w:r w:rsidR="0095630C" w:rsidRPr="001A0468">
        <w:t>ью</w:t>
      </w:r>
      <w:r w:rsidR="0086200E" w:rsidRPr="001A0468">
        <w:t xml:space="preserve"> внешнего механического воздействия на цементный гель.</w:t>
      </w:r>
      <w:r w:rsidR="000964DE" w:rsidRPr="001A0468">
        <w:t>В зависимости от интенсивности воздействия предельная водоудерживающая способность варьируется от 1</w:t>
      </w:r>
      <w:r w:rsidR="00CC2813" w:rsidRPr="001A0468">
        <w:t>3</w:t>
      </w:r>
      <w:r w:rsidR="000964DE" w:rsidRPr="001A0468">
        <w:t xml:space="preserve">5 до 165 </w:t>
      </w:r>
      <w:r w:rsidR="004F60E5" w:rsidRPr="001A0468">
        <w:t>% от нормальной густоты цементного теста [</w:t>
      </w:r>
      <w:r w:rsidR="00302217" w:rsidRPr="001A0468">
        <w:t>5,</w:t>
      </w:r>
      <w:r w:rsidR="005A4CED">
        <w:t>7</w:t>
      </w:r>
      <w:r w:rsidR="004F60E5" w:rsidRPr="001A0468">
        <w:t xml:space="preserve">]. </w:t>
      </w:r>
    </w:p>
    <w:p w:rsidR="00E52490" w:rsidRDefault="00080FEB" w:rsidP="001A0468">
      <w:pPr>
        <w:ind w:firstLine="567"/>
        <w:jc w:val="both"/>
      </w:pPr>
      <w:r w:rsidRPr="001A0468">
        <w:t>Ранее установлено</w:t>
      </w:r>
      <w:r w:rsidR="00CC2813" w:rsidRPr="001A0468">
        <w:t xml:space="preserve"> [</w:t>
      </w:r>
      <w:r w:rsidR="00302217" w:rsidRPr="001A0468">
        <w:t>5</w:t>
      </w:r>
      <w:r w:rsidR="00CC2813" w:rsidRPr="001A0468">
        <w:t>]</w:t>
      </w:r>
      <w:r w:rsidRPr="001A0468">
        <w:t xml:space="preserve">, что водопотребность песка зависит от </w:t>
      </w:r>
      <w:r w:rsidR="00A07B9B">
        <w:t xml:space="preserve">его происхождения и  физических свойств, </w:t>
      </w:r>
      <w:r w:rsidR="00CA75DB">
        <w:t>важнейшим</w:t>
      </w:r>
      <w:r w:rsidR="00A07B9B">
        <w:t xml:space="preserve"> из которых является удельная площадь поверхности </w:t>
      </w:r>
      <w:r w:rsidRPr="001A0468">
        <w:t>его зерен.</w:t>
      </w:r>
      <w:r w:rsidR="00210641" w:rsidRPr="001A0468">
        <w:t xml:space="preserve">Количество </w:t>
      </w:r>
      <w:r w:rsidR="00C42922" w:rsidRPr="001A0468">
        <w:t>воды,</w:t>
      </w:r>
      <w:r w:rsidR="00210641" w:rsidRPr="001A0468">
        <w:t xml:space="preserve"> связываемое различными фракциями песков</w:t>
      </w:r>
      <w:r w:rsidR="00C42922" w:rsidRPr="001A0468">
        <w:t>,</w:t>
      </w:r>
      <w:r w:rsidR="00210641" w:rsidRPr="001A0468">
        <w:t xml:space="preserve"> представлено на </w:t>
      </w:r>
      <w:r w:rsidR="00B365C7">
        <w:t>рис.</w:t>
      </w:r>
      <w:r w:rsidR="00210641" w:rsidRPr="001A0468">
        <w:t xml:space="preserve"> 1.</w:t>
      </w:r>
    </w:p>
    <w:p w:rsidR="009A7A93" w:rsidRPr="001A0468" w:rsidRDefault="009A7A93" w:rsidP="001A0468">
      <w:pPr>
        <w:ind w:firstLine="567"/>
        <w:jc w:val="both"/>
      </w:pPr>
    </w:p>
    <w:p w:rsidR="00210641" w:rsidRPr="001A0468" w:rsidRDefault="00A426E4" w:rsidP="001A0468">
      <w:pPr>
        <w:ind w:firstLine="567"/>
        <w:jc w:val="both"/>
      </w:pPr>
      <w:r w:rsidRPr="001A0468">
        <w:rPr>
          <w:noProof/>
        </w:rPr>
        <w:drawing>
          <wp:inline distT="0" distB="0" distL="0" distR="0">
            <wp:extent cx="5475768" cy="3211032"/>
            <wp:effectExtent l="0" t="0" r="0" b="88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7880" w:rsidRPr="00753EF1" w:rsidRDefault="00580376" w:rsidP="00D86D3B">
      <w:pPr>
        <w:ind w:firstLine="567"/>
        <w:jc w:val="both"/>
      </w:pPr>
      <w:r>
        <w:t>Рис.</w:t>
      </w:r>
      <w:fldSimple w:instr=" SEQ Рисунок \* ARABIC ">
        <w:r w:rsidR="006E356E" w:rsidRPr="001A0468">
          <w:t>1</w:t>
        </w:r>
      </w:fldSimple>
      <w:r w:rsidR="00C42922" w:rsidRPr="001A0468">
        <w:t>–</w:t>
      </w:r>
      <w:r w:rsidR="00210641" w:rsidRPr="001A0468">
        <w:t xml:space="preserve"> Водопо</w:t>
      </w:r>
      <w:r w:rsidR="00C42922" w:rsidRPr="001A0468">
        <w:t>гл</w:t>
      </w:r>
      <w:r w:rsidR="00210641" w:rsidRPr="001A0468">
        <w:t>ощение песков</w:t>
      </w:r>
      <w:r w:rsidR="009A7A93">
        <w:t xml:space="preserve"> в зависимости от среднего размера зерен</w:t>
      </w:r>
      <w:r w:rsidR="00BF0F05">
        <w:t xml:space="preserve"> и вещественной природы</w:t>
      </w:r>
      <w:r w:rsidR="00753EF1" w:rsidRPr="00753EF1">
        <w:t>[5]</w:t>
      </w:r>
    </w:p>
    <w:p w:rsidR="00210641" w:rsidRPr="001A0468" w:rsidRDefault="00210641" w:rsidP="001A0468">
      <w:pPr>
        <w:ind w:firstLine="567"/>
        <w:jc w:val="both"/>
      </w:pPr>
    </w:p>
    <w:p w:rsidR="00C42922" w:rsidRPr="001A0468" w:rsidRDefault="00753EF1" w:rsidP="001A0468">
      <w:pPr>
        <w:ind w:firstLine="567"/>
        <w:jc w:val="both"/>
      </w:pPr>
      <w:r>
        <w:t xml:space="preserve">Был проведен эксперимент по определению количества свободной воды в </w:t>
      </w:r>
      <w:r w:rsidR="00312C7F">
        <w:t>смесях,</w:t>
      </w:r>
      <w:r>
        <w:t xml:space="preserve"> предназначенных для производства пенобетонов. На практике </w:t>
      </w:r>
      <w:r w:rsidR="00235292" w:rsidRPr="001A0468">
        <w:t xml:space="preserve">количество свободной воды оценивалось на приборе Суттарда по </w:t>
      </w:r>
      <w:r>
        <w:t>величине расплыва</w:t>
      </w:r>
      <w:r w:rsidR="0084019E">
        <w:t>цементно-песчаных</w:t>
      </w:r>
      <w:r w:rsidR="00235292" w:rsidRPr="001A0468">
        <w:t>шликеров</w:t>
      </w:r>
      <w:r w:rsidR="0084019E">
        <w:t xml:space="preserve"> с </w:t>
      </w:r>
      <w:r w:rsidR="0084019E">
        <w:lastRenderedPageBreak/>
        <w:t>разли</w:t>
      </w:r>
      <w:r w:rsidR="00996949">
        <w:t>ч</w:t>
      </w:r>
      <w:r w:rsidR="0084019E">
        <w:t>ными соотношениями между цементом и песком</w:t>
      </w:r>
      <w:r w:rsidR="00235292" w:rsidRPr="001A0468">
        <w:t xml:space="preserve">.Полученные данные представлены на </w:t>
      </w:r>
      <w:r w:rsidR="00B365C7">
        <w:t>рис.</w:t>
      </w:r>
      <w:r w:rsidR="00580376">
        <w:t>2</w:t>
      </w:r>
      <w:r w:rsidR="00235292" w:rsidRPr="001A0468">
        <w:t xml:space="preserve">. </w:t>
      </w:r>
    </w:p>
    <w:p w:rsidR="006E356E" w:rsidRPr="001A0468" w:rsidRDefault="00A426E4" w:rsidP="001A0468">
      <w:pPr>
        <w:ind w:firstLine="567"/>
        <w:jc w:val="both"/>
      </w:pPr>
      <w:r w:rsidRPr="001A0468">
        <w:rPr>
          <w:noProof/>
        </w:rPr>
        <w:drawing>
          <wp:inline distT="0" distB="0" distL="0" distR="0">
            <wp:extent cx="5539563" cy="4093535"/>
            <wp:effectExtent l="0" t="0" r="4445" b="254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292" w:rsidRDefault="00580376" w:rsidP="00D86D3B">
      <w:pPr>
        <w:ind w:firstLine="567"/>
        <w:jc w:val="both"/>
      </w:pPr>
      <w:r>
        <w:t>Рис.</w:t>
      </w:r>
      <w:fldSimple w:instr=" SEQ Рисунок \* ARABIC ">
        <w:r>
          <w:rPr>
            <w:noProof/>
          </w:rPr>
          <w:t>2</w:t>
        </w:r>
      </w:fldSimple>
      <w:r w:rsidR="006E356E" w:rsidRPr="001A0468">
        <w:t xml:space="preserve"> – Расплыв шликеров </w:t>
      </w:r>
      <w:r w:rsidR="00996949">
        <w:t xml:space="preserve">на приборе </w:t>
      </w:r>
      <w:r w:rsidR="006E356E" w:rsidRPr="001A0468">
        <w:t>Суттард</w:t>
      </w:r>
      <w:r w:rsidR="00996949">
        <w:t>а</w:t>
      </w:r>
      <w:r w:rsidR="0084019E">
        <w:t xml:space="preserve"> в зависимости от водосодержания смеси и ее состава</w:t>
      </w:r>
    </w:p>
    <w:p w:rsidR="0084019E" w:rsidRPr="001A0468" w:rsidRDefault="0084019E" w:rsidP="001A0468">
      <w:pPr>
        <w:ind w:firstLine="567"/>
        <w:jc w:val="both"/>
      </w:pPr>
    </w:p>
    <w:p w:rsidR="006E356E" w:rsidRDefault="006E356E" w:rsidP="001A0468">
      <w:pPr>
        <w:ind w:firstLine="567"/>
        <w:jc w:val="both"/>
      </w:pPr>
      <w:r w:rsidRPr="001A0468">
        <w:t xml:space="preserve">Свободная вода, находясь в межзерновом пространстве, способствует раздвижке частиц твердой фазы. Поэтому с увеличением количества свободной воды подвижность шликеров увеличивается. </w:t>
      </w:r>
      <w:r w:rsidR="004D19DF" w:rsidRPr="001A0468">
        <w:t>Шликеры</w:t>
      </w:r>
      <w:r w:rsidR="004562B0">
        <w:t>,</w:t>
      </w:r>
      <w:r w:rsidR="004D19DF" w:rsidRPr="001A0468">
        <w:t xml:space="preserve"> в составе которых присутствовало больше цемента</w:t>
      </w:r>
      <w:r w:rsidR="004562B0">
        <w:t>,</w:t>
      </w:r>
      <w:r w:rsidR="004D19DF" w:rsidRPr="001A0468">
        <w:t xml:space="preserve"> показали большую подвижность вследствие того, что </w:t>
      </w:r>
      <w:r w:rsidR="004562B0">
        <w:t>удельная поверхность цемента значительно превышает удельную поверхность песка</w:t>
      </w:r>
      <w:r w:rsidR="00A07B9B">
        <w:t>.</w:t>
      </w:r>
      <w:r w:rsidR="000E5FB7">
        <w:t xml:space="preserve">Смесь компонентов (песка и цемента)в обводненном состоянии </w:t>
      </w:r>
      <w:r w:rsidR="004D19DF" w:rsidRPr="001A0468">
        <w:t>способн</w:t>
      </w:r>
      <w:r w:rsidR="000E5FB7">
        <w:t>а</w:t>
      </w:r>
      <w:r w:rsidR="004D19DF" w:rsidRPr="001A0468">
        <w:t xml:space="preserve"> распределиться тонким слоем </w:t>
      </w:r>
      <w:r w:rsidR="000E5FB7">
        <w:t xml:space="preserve">по поверхности, площадь которой эквивалентна </w:t>
      </w:r>
      <w:r w:rsidR="00996949">
        <w:t>суммарному значению</w:t>
      </w:r>
      <w:r w:rsidR="000E5FB7">
        <w:t xml:space="preserve"> удельной поверхности </w:t>
      </w:r>
      <w:r w:rsidR="00996949">
        <w:t xml:space="preserve">смеси </w:t>
      </w:r>
      <w:r w:rsidR="000E5FB7">
        <w:t>данного состава</w:t>
      </w:r>
      <w:r w:rsidR="00A07B9B">
        <w:t>. Иными словами, при постоянном объеме смеси, диаметр ее расплыва будет уменьшаться пропорционально увеличению среднего размера твердых частиц дисперсной системы.</w:t>
      </w:r>
    </w:p>
    <w:p w:rsidR="00A07B9B" w:rsidRPr="001A0468" w:rsidRDefault="0084019E" w:rsidP="00A07B9B">
      <w:pPr>
        <w:ind w:firstLine="567"/>
        <w:jc w:val="both"/>
      </w:pPr>
      <w:r>
        <w:t>Полученные экспериментальные результаты хорошо согласуются с теоретическими выводами</w:t>
      </w:r>
      <w:r w:rsidR="00A07B9B">
        <w:t xml:space="preserve">. </w:t>
      </w:r>
      <w:r w:rsidR="00A07B9B" w:rsidRPr="001A0468">
        <w:t xml:space="preserve">Таким образом, определив нормальную густоту цементного теста и свойства заполнителя можно рассчитать количество свободной воды содержащейся в цементно-песчаной суспензии для приготовления пенобетона, в которой будут работать ПАВ. </w:t>
      </w:r>
    </w:p>
    <w:p w:rsidR="00210641" w:rsidRPr="001A0468" w:rsidRDefault="00D666A4" w:rsidP="001A0468">
      <w:pPr>
        <w:ind w:firstLine="567"/>
        <w:jc w:val="both"/>
      </w:pPr>
      <w:r w:rsidRPr="001A0468">
        <w:t xml:space="preserve">Результаты исследований </w:t>
      </w:r>
      <w:r w:rsidR="00415896" w:rsidRPr="001A0468">
        <w:t>показывают,</w:t>
      </w:r>
      <w:r w:rsidRPr="001A0468">
        <w:t xml:space="preserve"> что </w:t>
      </w:r>
      <w:r w:rsidR="00415896" w:rsidRPr="001A0468">
        <w:t xml:space="preserve">в зависимости от состояния воды по отношению к твердым компонентам </w:t>
      </w:r>
      <w:r w:rsidR="00996949">
        <w:t>необходимо корректировать состав смеси для производства пенобетона.</w:t>
      </w:r>
      <w:r w:rsidR="00312C7F" w:rsidRPr="00312C7F">
        <w:t xml:space="preserve">Наличие свободной воды обеспечивает ПАВ средой, благодаря которой они способны вовлекать газовую фазу, увеличивать поверхность раздела фаз, увеличивая потенциальную возможность материала к энергосбережению в процессе эксплуатации. </w:t>
      </w:r>
      <w:r w:rsidR="004562B0">
        <w:t xml:space="preserve">Принципы, описанные в настоящей работе, способствуют подбору оптимального водосодержания пенобетонных смесей с позиции достижения проектной плотности. </w:t>
      </w:r>
      <w:r w:rsidR="00415896" w:rsidRPr="001A0468">
        <w:t xml:space="preserve">Это дает возможность </w:t>
      </w:r>
      <w:r w:rsidR="009A44E4" w:rsidRPr="001A0468">
        <w:t xml:space="preserve">получать </w:t>
      </w:r>
      <w:r w:rsidR="00415896" w:rsidRPr="001A0468">
        <w:t xml:space="preserve">бетоны с большим диапазоном варьирования их свойств. </w:t>
      </w:r>
    </w:p>
    <w:p w:rsidR="0084019E" w:rsidRDefault="0084019E" w:rsidP="001A0468">
      <w:pPr>
        <w:ind w:firstLine="567"/>
        <w:jc w:val="both"/>
        <w:rPr>
          <w:b/>
        </w:rPr>
      </w:pPr>
    </w:p>
    <w:p w:rsidR="00080FEB" w:rsidRPr="00D86D3B" w:rsidRDefault="0084019E" w:rsidP="001A0468">
      <w:pPr>
        <w:ind w:firstLine="567"/>
        <w:jc w:val="both"/>
        <w:rPr>
          <w:b/>
        </w:rPr>
      </w:pPr>
      <w:r w:rsidRPr="00D86D3B">
        <w:rPr>
          <w:b/>
        </w:rPr>
        <w:t>Литература</w:t>
      </w:r>
      <w:r w:rsidR="00D86D3B" w:rsidRPr="00D86D3B">
        <w:rPr>
          <w:b/>
        </w:rPr>
        <w:t>:</w:t>
      </w:r>
    </w:p>
    <w:p w:rsidR="00D86D3B" w:rsidRPr="001A0468" w:rsidRDefault="00D86D3B" w:rsidP="001A0468">
      <w:pPr>
        <w:ind w:firstLine="567"/>
        <w:jc w:val="both"/>
      </w:pPr>
    </w:p>
    <w:p w:rsidR="00302217" w:rsidRPr="001A0468" w:rsidRDefault="00302217" w:rsidP="001A0468">
      <w:pPr>
        <w:pStyle w:val="a7"/>
        <w:numPr>
          <w:ilvl w:val="0"/>
          <w:numId w:val="2"/>
        </w:numPr>
        <w:ind w:left="426"/>
        <w:jc w:val="both"/>
      </w:pPr>
      <w:r w:rsidRPr="001A0468">
        <w:t>Савельев И.В. Курс общей физики. Том 1. М.: Наука. 1989 – 352 с.</w:t>
      </w:r>
    </w:p>
    <w:p w:rsidR="000E1865" w:rsidRPr="001A0468" w:rsidRDefault="000E1865" w:rsidP="001A0468">
      <w:pPr>
        <w:pStyle w:val="a7"/>
        <w:numPr>
          <w:ilvl w:val="0"/>
          <w:numId w:val="2"/>
        </w:numPr>
        <w:ind w:left="426"/>
        <w:jc w:val="both"/>
      </w:pPr>
      <w:r w:rsidRPr="001A0468">
        <w:t>Моргун Л.В. Структурообразование и свойства фибропенобетонов неа</w:t>
      </w:r>
      <w:r w:rsidR="00263798" w:rsidRPr="001A0468">
        <w:t>втоклавного твердения: дис …. докто</w:t>
      </w:r>
      <w:r w:rsidRPr="001A0468">
        <w:t xml:space="preserve">ра </w:t>
      </w:r>
      <w:r w:rsidR="00263798" w:rsidRPr="001A0468">
        <w:t>технических наук. Ростов</w:t>
      </w:r>
      <w:r w:rsidR="00263798" w:rsidRPr="001A0468">
        <w:noBreakHyphen/>
        <w:t>на</w:t>
      </w:r>
      <w:r w:rsidR="00263798" w:rsidRPr="001A0468">
        <w:noBreakHyphen/>
        <w:t>Дону</w:t>
      </w:r>
      <w:r w:rsidRPr="001A0468">
        <w:t xml:space="preserve">  2005. – 336 с.</w:t>
      </w:r>
    </w:p>
    <w:p w:rsidR="00302217" w:rsidRPr="001A0468" w:rsidRDefault="000E1865" w:rsidP="001A0468">
      <w:pPr>
        <w:pStyle w:val="a7"/>
        <w:numPr>
          <w:ilvl w:val="0"/>
          <w:numId w:val="2"/>
        </w:numPr>
        <w:ind w:left="426"/>
        <w:jc w:val="both"/>
      </w:pPr>
      <w:r w:rsidRPr="001A0468">
        <w:t>Смирнова П. В. Температурный фактор в технологии фибропенобетона</w:t>
      </w:r>
      <w:r w:rsidR="00263798" w:rsidRPr="001A0468">
        <w:t>:дис. ... кандидата технических наук</w:t>
      </w:r>
      <w:r w:rsidRPr="001A0468">
        <w:t>.</w:t>
      </w:r>
      <w:r w:rsidR="00263798" w:rsidRPr="001A0468">
        <w:t xml:space="preserve"> Ростов-на-Дону 2010. – 151с.</w:t>
      </w:r>
    </w:p>
    <w:p w:rsidR="000E1865" w:rsidRPr="001A0468" w:rsidRDefault="001F493A" w:rsidP="001A0468">
      <w:pPr>
        <w:pStyle w:val="a7"/>
        <w:numPr>
          <w:ilvl w:val="0"/>
          <w:numId w:val="2"/>
        </w:numPr>
        <w:ind w:left="426"/>
        <w:jc w:val="both"/>
      </w:pPr>
      <w:r>
        <w:t>Стренк Ф. Перемешивание и аппараты с мешалками. Польша 1971.</w:t>
      </w:r>
      <w:r w:rsidR="00BF0F05">
        <w:t xml:space="preserve"> Пер. с польск. Под ред. Щупляка И.А., Л., «Химия», 1975 – 384с. </w:t>
      </w:r>
    </w:p>
    <w:p w:rsidR="008A3E98" w:rsidRDefault="0022669D" w:rsidP="008A3E98">
      <w:pPr>
        <w:pStyle w:val="a7"/>
        <w:numPr>
          <w:ilvl w:val="0"/>
          <w:numId w:val="2"/>
        </w:numPr>
        <w:ind w:left="426"/>
        <w:jc w:val="both"/>
      </w:pPr>
      <w:r w:rsidRPr="001A0468">
        <w:t>Ахвердов И. Н. Основы физики бетона. М.: Стройиздат 1981 – 464 с.</w:t>
      </w:r>
    </w:p>
    <w:p w:rsidR="008A3E98" w:rsidRDefault="008A3E98" w:rsidP="008A3E98">
      <w:pPr>
        <w:pStyle w:val="a7"/>
        <w:numPr>
          <w:ilvl w:val="0"/>
          <w:numId w:val="2"/>
        </w:numPr>
        <w:ind w:left="426"/>
        <w:jc w:val="both"/>
      </w:pPr>
      <w:r>
        <w:t>Костыленко К.И., Пушенко О.В., Моргун В.Н.Особенности формирования пеноструктур в цементно-песчаных смесях.</w:t>
      </w:r>
      <w:r w:rsidR="00D86D3B">
        <w:t xml:space="preserve"> </w:t>
      </w:r>
      <w:r>
        <w:t>Сборник научных трудов Sworld по материалам международной научно-практической конференции.</w:t>
      </w:r>
      <w:r w:rsidR="00312C7F">
        <w:t xml:space="preserve"> Одесса.</w:t>
      </w:r>
      <w:r>
        <w:t xml:space="preserve"> 2012. Т. 26. № 2. С. 19-22.</w:t>
      </w:r>
    </w:p>
    <w:p w:rsidR="008A3E98" w:rsidRDefault="00913EA8" w:rsidP="008A3E98">
      <w:pPr>
        <w:pStyle w:val="a7"/>
        <w:numPr>
          <w:ilvl w:val="0"/>
          <w:numId w:val="2"/>
        </w:numPr>
        <w:ind w:left="426"/>
        <w:jc w:val="both"/>
      </w:pPr>
      <w:r w:rsidRPr="001A0468">
        <w:t>Дворкин Л.И., Дворкин О.Л. Правило постоянства водопотребности бетонных смесей //Бетон и железобетон в Украине, №1, 2002 С.18-22</w:t>
      </w:r>
    </w:p>
    <w:p w:rsidR="00302217" w:rsidRPr="001A0468" w:rsidRDefault="00302217" w:rsidP="008A3E98">
      <w:pPr>
        <w:pStyle w:val="a7"/>
        <w:ind w:left="426"/>
        <w:jc w:val="both"/>
      </w:pPr>
    </w:p>
    <w:sectPr w:rsidR="00302217" w:rsidRPr="001A0468" w:rsidSect="00245007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66" w:rsidRDefault="00D07F66" w:rsidP="00096144">
      <w:r>
        <w:separator/>
      </w:r>
    </w:p>
  </w:endnote>
  <w:endnote w:type="continuationSeparator" w:id="1">
    <w:p w:rsidR="00D07F66" w:rsidRDefault="00D07F66" w:rsidP="0009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66" w:rsidRDefault="00D07F66" w:rsidP="00096144">
      <w:r>
        <w:separator/>
      </w:r>
    </w:p>
  </w:footnote>
  <w:footnote w:type="continuationSeparator" w:id="1">
    <w:p w:rsidR="00D07F66" w:rsidRDefault="00D07F66" w:rsidP="00096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44" w:rsidRDefault="00096144">
    <w:pPr>
      <w:pStyle w:val="a3"/>
      <w:jc w:val="center"/>
    </w:pPr>
  </w:p>
  <w:p w:rsidR="00096144" w:rsidRDefault="00096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221"/>
    <w:multiLevelType w:val="hybridMultilevel"/>
    <w:tmpl w:val="FFFC04B2"/>
    <w:lvl w:ilvl="0" w:tplc="A9F0C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F6F9F"/>
    <w:multiLevelType w:val="hybridMultilevel"/>
    <w:tmpl w:val="034E40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F023E3"/>
    <w:multiLevelType w:val="hybridMultilevel"/>
    <w:tmpl w:val="034E40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9A5251"/>
    <w:multiLevelType w:val="hybridMultilevel"/>
    <w:tmpl w:val="6EEE3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7FF"/>
    <w:rsid w:val="00000324"/>
    <w:rsid w:val="000257D0"/>
    <w:rsid w:val="00044E01"/>
    <w:rsid w:val="00080FEB"/>
    <w:rsid w:val="000871C9"/>
    <w:rsid w:val="00095116"/>
    <w:rsid w:val="00096144"/>
    <w:rsid w:val="000964DE"/>
    <w:rsid w:val="000B4353"/>
    <w:rsid w:val="000E1865"/>
    <w:rsid w:val="000E5FB7"/>
    <w:rsid w:val="00117880"/>
    <w:rsid w:val="001764BF"/>
    <w:rsid w:val="00182D63"/>
    <w:rsid w:val="001A0468"/>
    <w:rsid w:val="001C0884"/>
    <w:rsid w:val="001E0455"/>
    <w:rsid w:val="001E2C29"/>
    <w:rsid w:val="001E752E"/>
    <w:rsid w:val="001F493A"/>
    <w:rsid w:val="001F66FA"/>
    <w:rsid w:val="00210641"/>
    <w:rsid w:val="0022669D"/>
    <w:rsid w:val="00235292"/>
    <w:rsid w:val="00240641"/>
    <w:rsid w:val="00245007"/>
    <w:rsid w:val="00263798"/>
    <w:rsid w:val="002744C4"/>
    <w:rsid w:val="00282F53"/>
    <w:rsid w:val="00302217"/>
    <w:rsid w:val="00312C7F"/>
    <w:rsid w:val="00337BB1"/>
    <w:rsid w:val="00360B00"/>
    <w:rsid w:val="00362CF0"/>
    <w:rsid w:val="00381489"/>
    <w:rsid w:val="0038703F"/>
    <w:rsid w:val="003D15B9"/>
    <w:rsid w:val="00415896"/>
    <w:rsid w:val="004562B0"/>
    <w:rsid w:val="00472592"/>
    <w:rsid w:val="004727E9"/>
    <w:rsid w:val="004B4DCB"/>
    <w:rsid w:val="004D19DF"/>
    <w:rsid w:val="004F1B62"/>
    <w:rsid w:val="004F60E5"/>
    <w:rsid w:val="004F6AF5"/>
    <w:rsid w:val="00504DCD"/>
    <w:rsid w:val="00511BDF"/>
    <w:rsid w:val="00520C9E"/>
    <w:rsid w:val="005544C2"/>
    <w:rsid w:val="00580376"/>
    <w:rsid w:val="005A4CED"/>
    <w:rsid w:val="005F238C"/>
    <w:rsid w:val="00631FD0"/>
    <w:rsid w:val="006355E7"/>
    <w:rsid w:val="00645EC3"/>
    <w:rsid w:val="00656D94"/>
    <w:rsid w:val="0069250E"/>
    <w:rsid w:val="006B5F23"/>
    <w:rsid w:val="006E356E"/>
    <w:rsid w:val="006F6E9A"/>
    <w:rsid w:val="007318A9"/>
    <w:rsid w:val="00753EF1"/>
    <w:rsid w:val="007773CE"/>
    <w:rsid w:val="007D3507"/>
    <w:rsid w:val="0080333F"/>
    <w:rsid w:val="0084019E"/>
    <w:rsid w:val="0086200E"/>
    <w:rsid w:val="0086392A"/>
    <w:rsid w:val="008A3E98"/>
    <w:rsid w:val="008D477F"/>
    <w:rsid w:val="008D768E"/>
    <w:rsid w:val="00913EA8"/>
    <w:rsid w:val="00916342"/>
    <w:rsid w:val="009420F3"/>
    <w:rsid w:val="009472CF"/>
    <w:rsid w:val="00951128"/>
    <w:rsid w:val="0095630C"/>
    <w:rsid w:val="00996949"/>
    <w:rsid w:val="009A44E4"/>
    <w:rsid w:val="009A7A93"/>
    <w:rsid w:val="009C7E19"/>
    <w:rsid w:val="00A07B9B"/>
    <w:rsid w:val="00A10C2C"/>
    <w:rsid w:val="00A426E4"/>
    <w:rsid w:val="00AA083A"/>
    <w:rsid w:val="00AA680A"/>
    <w:rsid w:val="00AF3DA9"/>
    <w:rsid w:val="00B05ED3"/>
    <w:rsid w:val="00B127FF"/>
    <w:rsid w:val="00B365C7"/>
    <w:rsid w:val="00B65A7F"/>
    <w:rsid w:val="00B81F73"/>
    <w:rsid w:val="00BD0A27"/>
    <w:rsid w:val="00BF09EE"/>
    <w:rsid w:val="00BF0F05"/>
    <w:rsid w:val="00C07604"/>
    <w:rsid w:val="00C365DA"/>
    <w:rsid w:val="00C42922"/>
    <w:rsid w:val="00C631E8"/>
    <w:rsid w:val="00C648B2"/>
    <w:rsid w:val="00CA75DB"/>
    <w:rsid w:val="00CC2813"/>
    <w:rsid w:val="00CC77CB"/>
    <w:rsid w:val="00CD5D6E"/>
    <w:rsid w:val="00D07F66"/>
    <w:rsid w:val="00D666A4"/>
    <w:rsid w:val="00D85D7B"/>
    <w:rsid w:val="00D86D3B"/>
    <w:rsid w:val="00DD5CD9"/>
    <w:rsid w:val="00DE3273"/>
    <w:rsid w:val="00E52490"/>
    <w:rsid w:val="00EA3522"/>
    <w:rsid w:val="00EB220C"/>
    <w:rsid w:val="00F52FBD"/>
    <w:rsid w:val="00F64731"/>
    <w:rsid w:val="00FC3916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7FF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7FF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27FF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B127FF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96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961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6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61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24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7880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210641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7FF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7FF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27FF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B127FF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96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961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6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61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24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7880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210641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tmp9210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00%20&#1069;&#1050;&#1057;&#1055;&#1045;&#1056;&#1048;&#1052;&#1045;&#1053;&#1058;&#1067;\&#1075;&#1088;&#1072;&#1092;&#1080;&#1082;&#1080;%20&#1082;&#1086;&#1083;&#1080;&#1095;&#1077;&#1089;&#1090;&#1074;&#1072;%20&#1089;&#1074;&#1086;&#1073;&#1086;&#1076;&#1085;&#1086;&#1081;%20&#1074;&#1086;&#1076;&#109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smoothMarker"/>
        <c:ser>
          <c:idx val="0"/>
          <c:order val="0"/>
          <c:tx>
            <c:strRef>
              <c:f>Sheet1!$C$3</c:f>
              <c:strCache>
                <c:ptCount val="1"/>
                <c:pt idx="0">
                  <c:v>Морской песок</c:v>
                </c:pt>
              </c:strCache>
            </c:strRef>
          </c:tx>
          <c:xVal>
            <c:numRef>
              <c:f>Sheet1!$A$7:$A$12</c:f>
              <c:numCache>
                <c:formatCode>General</c:formatCode>
                <c:ptCount val="6"/>
                <c:pt idx="0">
                  <c:v>3.3299999999999992</c:v>
                </c:pt>
                <c:pt idx="1">
                  <c:v>1.6</c:v>
                </c:pt>
                <c:pt idx="2">
                  <c:v>0.9</c:v>
                </c:pt>
                <c:pt idx="3">
                  <c:v>0.45</c:v>
                </c:pt>
                <c:pt idx="4">
                  <c:v>0.23</c:v>
                </c:pt>
                <c:pt idx="5">
                  <c:v>0.11000000000000001</c:v>
                </c:pt>
              </c:numCache>
            </c:numRef>
          </c:xVal>
          <c:yVal>
            <c:numRef>
              <c:f>Sheet1!$C$7:$C$12</c:f>
              <c:numCache>
                <c:formatCode>General</c:formatCode>
                <c:ptCount val="6"/>
                <c:pt idx="1">
                  <c:v>1.36</c:v>
                </c:pt>
                <c:pt idx="2">
                  <c:v>1.9600000000000002</c:v>
                </c:pt>
                <c:pt idx="3">
                  <c:v>2.8899999999999997</c:v>
                </c:pt>
                <c:pt idx="4">
                  <c:v>4.5</c:v>
                </c:pt>
                <c:pt idx="5">
                  <c:v>9.120000000000001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Речной песок</c:v>
                </c:pt>
              </c:strCache>
            </c:strRef>
          </c:tx>
          <c:xVal>
            <c:numRef>
              <c:f>Sheet1!$A$7:$A$12</c:f>
              <c:numCache>
                <c:formatCode>General</c:formatCode>
                <c:ptCount val="6"/>
                <c:pt idx="0">
                  <c:v>3.3299999999999992</c:v>
                </c:pt>
                <c:pt idx="1">
                  <c:v>1.6</c:v>
                </c:pt>
                <c:pt idx="2">
                  <c:v>0.9</c:v>
                </c:pt>
                <c:pt idx="3">
                  <c:v>0.45</c:v>
                </c:pt>
                <c:pt idx="4">
                  <c:v>0.23</c:v>
                </c:pt>
                <c:pt idx="5">
                  <c:v>0.11000000000000001</c:v>
                </c:pt>
              </c:numCache>
            </c:numRef>
          </c:xVal>
          <c:yVal>
            <c:numRef>
              <c:f>Sheet1!$D$7:$D$12</c:f>
              <c:numCache>
                <c:formatCode>General</c:formatCode>
                <c:ptCount val="6"/>
                <c:pt idx="0">
                  <c:v>1.9139999999999993</c:v>
                </c:pt>
                <c:pt idx="1">
                  <c:v>2.0699999999999998</c:v>
                </c:pt>
                <c:pt idx="2">
                  <c:v>2.2999999999999998</c:v>
                </c:pt>
                <c:pt idx="3">
                  <c:v>3.46</c:v>
                </c:pt>
                <c:pt idx="4">
                  <c:v>6</c:v>
                </c:pt>
                <c:pt idx="5">
                  <c:v>12.01</c:v>
                </c:pt>
              </c:numCache>
            </c:numRef>
          </c:yVal>
          <c:smooth val="1"/>
        </c:ser>
        <c:axId val="40252544"/>
        <c:axId val="40254464"/>
      </c:scatterChart>
      <c:valAx>
        <c:axId val="40252544"/>
        <c:scaling>
          <c:orientation val="minMax"/>
          <c:max val="1.6300000000000001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Средний размер зерен песка, мм</a:t>
                </a:r>
              </a:p>
            </c:rich>
          </c:tx>
        </c:title>
        <c:numFmt formatCode="General" sourceLinked="1"/>
        <c:minorTickMark val="in"/>
        <c:tickLblPos val="nextTo"/>
        <c:crossAx val="40254464"/>
        <c:crosses val="autoZero"/>
        <c:crossBetween val="midCat"/>
        <c:majorUnit val="0.2"/>
        <c:minorUnit val="0.1"/>
      </c:valAx>
      <c:valAx>
        <c:axId val="40254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Водопоглощение по массе, %</a:t>
                </a:r>
              </a:p>
            </c:rich>
          </c:tx>
        </c:title>
        <c:numFmt formatCode="General" sourceLinked="1"/>
        <c:tickLblPos val="nextTo"/>
        <c:crossAx val="40252544"/>
        <c:crosses val="autoZero"/>
        <c:crossBetween val="midCat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5029277171741026"/>
          <c:y val="4.5389936600678971E-2"/>
          <c:w val="0.79563324524215717"/>
          <c:h val="0.68546098296469793"/>
        </c:manualLayout>
      </c:layout>
      <c:scatterChart>
        <c:scatterStyle val="lineMarker"/>
        <c:ser>
          <c:idx val="0"/>
          <c:order val="0"/>
          <c:tx>
            <c:v>Ц/П=0,5</c:v>
          </c:tx>
          <c:spPr>
            <a:ln w="28575">
              <a:noFill/>
            </a:ln>
          </c:spPr>
          <c:trendline>
            <c:spPr>
              <a:ln w="19050">
                <a:solidFill>
                  <a:srgbClr val="0070C0"/>
                </a:solidFill>
              </a:ln>
            </c:spPr>
            <c:trendlineType val="linear"/>
          </c:trendline>
          <c:xVal>
            <c:numRef>
              <c:f>Лист3!$J$23:$J$34</c:f>
              <c:numCache>
                <c:formatCode>_-* #,##0_р_._-;\-* #,##0_р_._-;_-* "-"??_р_._-;_-@_-</c:formatCode>
                <c:ptCount val="12"/>
                <c:pt idx="0">
                  <c:v>44</c:v>
                </c:pt>
                <c:pt idx="1">
                  <c:v>48.5</c:v>
                </c:pt>
                <c:pt idx="2">
                  <c:v>53</c:v>
                </c:pt>
                <c:pt idx="3">
                  <c:v>35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41</c:v>
                </c:pt>
                <c:pt idx="11">
                  <c:v>41</c:v>
                </c:pt>
              </c:numCache>
            </c:numRef>
          </c:xVal>
          <c:yVal>
            <c:numRef>
              <c:f>Лист3!$I$23:$I$34</c:f>
              <c:numCache>
                <c:formatCode>General</c:formatCode>
                <c:ptCount val="12"/>
                <c:pt idx="0">
                  <c:v>31</c:v>
                </c:pt>
                <c:pt idx="1">
                  <c:v>35</c:v>
                </c:pt>
                <c:pt idx="2">
                  <c:v>39</c:v>
                </c:pt>
                <c:pt idx="3">
                  <c:v>25</c:v>
                </c:pt>
                <c:pt idx="4">
                  <c:v>26</c:v>
                </c:pt>
                <c:pt idx="5">
                  <c:v>26</c:v>
                </c:pt>
                <c:pt idx="6">
                  <c:v>26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29</c:v>
                </c:pt>
                <c:pt idx="11">
                  <c:v>29</c:v>
                </c:pt>
              </c:numCache>
            </c:numRef>
          </c:yVal>
        </c:ser>
        <c:ser>
          <c:idx val="1"/>
          <c:order val="1"/>
          <c:tx>
            <c:v>Ц/П=1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</c:trendline>
          <c:xVal>
            <c:numRef>
              <c:f>Лист3!$J$35:$J$37</c:f>
              <c:numCache>
                <c:formatCode>_-* #,##0_р_._-;\-* #,##0_р_._-;_-* "-"??_р_._-;_-@_-</c:formatCode>
                <c:ptCount val="3"/>
                <c:pt idx="0">
                  <c:v>29</c:v>
                </c:pt>
                <c:pt idx="1">
                  <c:v>36</c:v>
                </c:pt>
                <c:pt idx="2">
                  <c:v>41</c:v>
                </c:pt>
              </c:numCache>
            </c:numRef>
          </c:xVal>
          <c:yVal>
            <c:numRef>
              <c:f>Лист3!$I$35:$I$37</c:f>
              <c:numCache>
                <c:formatCode>General</c:formatCode>
                <c:ptCount val="3"/>
                <c:pt idx="0">
                  <c:v>31</c:v>
                </c:pt>
                <c:pt idx="1">
                  <c:v>35</c:v>
                </c:pt>
                <c:pt idx="2">
                  <c:v>39</c:v>
                </c:pt>
              </c:numCache>
            </c:numRef>
          </c:yVal>
        </c:ser>
        <c:ser>
          <c:idx val="2"/>
          <c:order val="2"/>
          <c:tx>
            <c:v>Ц/П=2</c:v>
          </c:tx>
          <c:spPr>
            <a:ln w="28575">
              <a:noFill/>
            </a:ln>
          </c:spPr>
          <c:trendline>
            <c:spPr>
              <a:ln w="19050">
                <a:solidFill>
                  <a:srgbClr val="92D050"/>
                </a:solidFill>
              </a:ln>
            </c:spPr>
            <c:trendlineType val="linear"/>
          </c:trendline>
          <c:xVal>
            <c:numRef>
              <c:f>Лист3!$J$38:$J$40</c:f>
              <c:numCache>
                <c:formatCode>_-* #,##0_р_._-;\-* #,##0_р_._-;_-* "-"??_р_._-;_-@_-</c:formatCode>
                <c:ptCount val="3"/>
                <c:pt idx="0">
                  <c:v>24</c:v>
                </c:pt>
                <c:pt idx="1">
                  <c:v>29</c:v>
                </c:pt>
                <c:pt idx="2">
                  <c:v>35</c:v>
                </c:pt>
              </c:numCache>
            </c:numRef>
          </c:xVal>
          <c:yVal>
            <c:numRef>
              <c:f>Лист3!$I$38:$I$40</c:f>
              <c:numCache>
                <c:formatCode>General</c:formatCode>
                <c:ptCount val="3"/>
                <c:pt idx="0">
                  <c:v>31</c:v>
                </c:pt>
                <c:pt idx="1">
                  <c:v>35</c:v>
                </c:pt>
                <c:pt idx="2">
                  <c:v>39</c:v>
                </c:pt>
              </c:numCache>
            </c:numRef>
          </c:yVal>
        </c:ser>
        <c:axId val="75423744"/>
        <c:axId val="75426432"/>
      </c:scatterChart>
      <c:valAx>
        <c:axId val="75423744"/>
        <c:scaling>
          <c:orientation val="minMax"/>
          <c:min val="20"/>
        </c:scaling>
        <c:axPos val="b"/>
        <c:title>
          <c:tx>
            <c:rich>
              <a:bodyPr/>
              <a:lstStyle/>
              <a:p>
                <a:pPr algn="ctr" rtl="0">
                  <a:defRPr b="1"/>
                </a:pPr>
                <a:r>
                  <a:rPr lang="ru-RU" b="1"/>
                  <a:t>Количество свободной воды, % от общей</a:t>
                </a:r>
              </a:p>
              <a:p>
                <a:pPr algn="ctr" rtl="0">
                  <a:defRPr b="1"/>
                </a:pPr>
                <a:endParaRPr lang="ru-RU" b="1"/>
              </a:p>
            </c:rich>
          </c:tx>
          <c:layout>
            <c:manualLayout>
              <c:xMode val="edge"/>
              <c:yMode val="edge"/>
              <c:x val="0.29679055911089025"/>
              <c:y val="0.81067618651909401"/>
            </c:manualLayout>
          </c:layout>
        </c:title>
        <c:numFmt formatCode="_-* #,##0_р_._-;\-* #,##0_р_._-;_-* &quot;-&quot;??_р_._-;_-@_-" sourceLinked="1"/>
        <c:tickLblPos val="nextTo"/>
        <c:txPr>
          <a:bodyPr/>
          <a:lstStyle/>
          <a:p>
            <a:pPr algn="ctr" rtl="0">
              <a:defRPr/>
            </a:pPr>
            <a:endParaRPr lang="ru-RU"/>
          </a:p>
        </c:txPr>
        <c:crossAx val="75426432"/>
        <c:crosses val="autoZero"/>
        <c:crossBetween val="midCat"/>
      </c:valAx>
      <c:valAx>
        <c:axId val="75426432"/>
        <c:scaling>
          <c:orientation val="minMax"/>
          <c:max val="43"/>
          <c:min val="22"/>
        </c:scaling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b="1"/>
                </a:pPr>
                <a:r>
                  <a:rPr lang="ru-RU" b="1"/>
                  <a:t>Диаметр расплыва шликера по Суттарду, см</a:t>
                </a:r>
              </a:p>
            </c:rich>
          </c:tx>
        </c:title>
        <c:numFmt formatCode="General" sourceLinked="1"/>
        <c:tickLblPos val="nextTo"/>
        <c:crossAx val="75423744"/>
        <c:crosses val="autoZero"/>
        <c:crossBetween val="midCat"/>
        <c:majorUnit val="3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1169130128134656"/>
          <c:y val="0.86164892590411934"/>
          <c:w val="0.81607931898944563"/>
          <c:h val="6.3707056613170318E-2"/>
        </c:manualLayout>
      </c:layout>
      <c:txPr>
        <a:bodyPr/>
        <a:lstStyle/>
        <a:p>
          <a:pPr algn="ctr" rtl="0">
            <a:defRPr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marL="0" marR="0" indent="0" algn="ctr" defTabSz="914400" rtl="0" eaLnBrk="1" fontAlgn="auto" latinLnBrk="0" hangingPunct="1">
        <a:lnSpc>
          <a:spcPct val="100000"/>
        </a:lnSpc>
        <a:spcBef>
          <a:spcPts val="0"/>
        </a:spcBef>
        <a:spcAft>
          <a:spcPts val="0"/>
        </a:spcAft>
        <a:buClrTx/>
        <a:buSzTx/>
        <a:buFontTx/>
        <a:buNone/>
        <a:tabLst/>
        <a:defRPr lang="ru-RU" sz="1200" b="0" i="0" u="none" strike="noStrike" kern="1200" baseline="0">
          <a:solidFill>
            <a:sysClr val="windowText" lastClr="000000"/>
          </a:solidFill>
          <a:effectLst/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EDDD-8B5D-4909-B56B-0977CF55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Даня</cp:lastModifiedBy>
  <cp:revision>10</cp:revision>
  <dcterms:created xsi:type="dcterms:W3CDTF">2012-08-15T12:48:00Z</dcterms:created>
  <dcterms:modified xsi:type="dcterms:W3CDTF">2012-08-25T12:05:00Z</dcterms:modified>
</cp:coreProperties>
</file>